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ind w:right="176" w:rightChars="84"/>
        <w:rPr>
          <w:rFonts w:ascii="黑体" w:hAnsi="黑体" w:eastAsia="黑体"/>
        </w:rPr>
      </w:pPr>
      <w:bookmarkStart w:id="2" w:name="_GoBack"/>
      <w:bookmarkStart w:id="0" w:name="SectionMark0"/>
      <w:r>
        <mc:AlternateContent>
          <mc:Choice Requires="wps">
            <w:drawing>
              <wp:anchor distT="0" distB="0" distL="114300" distR="114300" simplePos="0" relativeHeight="251666432" behindDoc="0" locked="1" layoutInCell="1" allowOverlap="1">
                <wp:simplePos x="0" y="0"/>
                <wp:positionH relativeFrom="margin">
                  <wp:posOffset>0</wp:posOffset>
                </wp:positionH>
                <wp:positionV relativeFrom="margin">
                  <wp:posOffset>9079865</wp:posOffset>
                </wp:positionV>
                <wp:extent cx="6120130" cy="363220"/>
                <wp:effectExtent l="0" t="0" r="13970" b="17780"/>
                <wp:wrapNone/>
                <wp:docPr id="11" name="文本框 11"/>
                <wp:cNvGraphicFramePr/>
                <a:graphic xmlns:a="http://schemas.openxmlformats.org/drawingml/2006/main">
                  <a:graphicData uri="http://schemas.microsoft.com/office/word/2010/wordprocessingShape">
                    <wps:wsp>
                      <wps:cNvSpPr txBox="1"/>
                      <wps:spPr>
                        <a:xfrm>
                          <a:off x="0" y="0"/>
                          <a:ext cx="6120130" cy="363220"/>
                        </a:xfrm>
                        <a:prstGeom prst="rect">
                          <a:avLst/>
                        </a:prstGeom>
                        <a:solidFill>
                          <a:srgbClr val="FFFFFF"/>
                        </a:solidFill>
                        <a:ln>
                          <a:noFill/>
                        </a:ln>
                        <a:effectLst/>
                      </wps:spPr>
                      <wps:txbx>
                        <w:txbxContent>
                          <w:p>
                            <w:pPr>
                              <w:pStyle w:val="11"/>
                              <w:bidi w:val="0"/>
                            </w:pPr>
                            <w:r>
                              <w:rPr>
                                <w:rFonts w:hint="eastAsia"/>
                              </w:rPr>
                              <w:t>哈密市市场监督管理局</w:t>
                            </w:r>
                            <w:r>
                              <w:t xml:space="preserve">  </w:t>
                            </w:r>
                            <w:r>
                              <w:rPr>
                                <w:rStyle w:val="12"/>
                                <w:rFonts w:hint="eastAsia"/>
                                <w:b w:val="0"/>
                                <w:bCs/>
                              </w:rPr>
                              <w:t>发布</w:t>
                            </w:r>
                          </w:p>
                          <w:p>
                            <w:pPr>
                              <w:pStyle w:val="11"/>
                              <w:bidi w:val="0"/>
                            </w:pPr>
                          </w:p>
                        </w:txbxContent>
                      </wps:txbx>
                      <wps:bodyPr lIns="0" tIns="0" rIns="0" bIns="0" upright="1"/>
                    </wps:wsp>
                  </a:graphicData>
                </a:graphic>
              </wp:anchor>
            </w:drawing>
          </mc:Choice>
          <mc:Fallback>
            <w:pict>
              <v:shape id="_x0000_s1026" o:spid="_x0000_s1026" o:spt="202" type="#_x0000_t202" style="position:absolute;left:0pt;margin-left:0pt;margin-top:714.95pt;height:28.6pt;width:481.9pt;mso-position-horizontal-relative:margin;mso-position-vertical-relative:margin;z-index:251666432;mso-width-relative:page;mso-height-relative:page;" fillcolor="#FFFFFF" filled="t" stroked="f" coordsize="21600,21600" o:gfxdata="UEsDBAoAAAAAAIdO4kAAAAAAAAAAAAAAAAAEAAAAZHJzL1BLAwQUAAAACACHTuJANt/bwtkAAAAK&#10;AQAADwAAAGRycy9kb3ducmV2LnhtbE2PwU7DMBBE70j8g7VIXBB1ElBo0jiVaOEGh5aqZzfeJhHx&#10;Ooqdpv17tid63JnR7LxiebadOOHgW0cK4lkEAqlypqVawe7n83kOwgdNRneOUMEFPSzL+7tC58ZN&#10;tMHTNtSCS8jnWkETQp9L6asGrfYz1yOxd3SD1YHPoZZm0BOX204mUZRKq1viD43ucdVg9bsdrYJ0&#10;PYzThlZP693Hl/7u62T/ftkr9fgQRwsQAc/hPwzX+TwdSt50cCMZLzoFDBJYfU2yDAT7WfrCKIer&#10;NH+LQZaFvEUo/wBQSwMEFAAAAAgAh07iQG6AMqC5AQAAXQMAAA4AAABkcnMvZTJvRG9jLnhtbK1T&#10;S27bMBDdF8gdCO5r+gMYhWA5QBu4CFC0BdIegKJIiQB/GDKWfIH2Bl11033P5XN0SFtO0uyCaEEN&#10;Zx6H894MN9ejNWQvIWrvarqYzSmRTvhWu66m37/t3r6jJCbuWm68kzU9yEivt1dvNkOo5NL33rQS&#10;CCZxsRpCTfuUQsVYFL20PM58kA6DyoPlCbfQsRb4gNmtYcv5fM0GD20AL2SM6L05Bem25FdKivRF&#10;qSgTMTXF2lJZoaxNXtl2w6sOeOi1OJfBX1CF5drhpZdUNzxxcg/6WSqrBfjoVZoJb5lXSgtZOCCb&#10;xfw/Nnc9D7JwQXFiuMgUXy+t+Lz/CkS32LsFJY5b7NHx18/j77/HPz8I+lCgIcQKcXcBkWl870cE&#10;T/6Izsx7VGDzHxkRjKPUh4u8ckxEoHO9QI4rDAmMrdar5bLozx5OB4jpo/SWZKOmgO0rqvL9p5iw&#10;EoROkHxZ9Ea3O21M2UDXfDBA9hxbvStfLhKPPIEZl8HO52On8Mkjy7Ccr8mMT8yylcZmPMvQ+PaA&#10;Kphbhz3I8zQZMBnNZNwH0F2PLIpWLCfCHpaCzvOWh+TxHu3Hr2L7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Dbf28LZAAAACgEAAA8AAAAAAAAAAQAgAAAAIgAAAGRycy9kb3ducmV2LnhtbFBLAQIU&#10;ABQAAAAIAIdO4kBugDKguQEAAF0DAAAOAAAAAAAAAAEAIAAAACgBAABkcnMvZTJvRG9jLnhtbFBL&#10;BQYAAAAABgAGAFkBAABTBQAAAAA=&#10;">
                <v:fill on="t" focussize="0,0"/>
                <v:stroke on="f"/>
                <v:imagedata o:title=""/>
                <o:lock v:ext="edit" aspectratio="f"/>
                <v:textbox inset="0mm,0mm,0mm,0mm">
                  <w:txbxContent>
                    <w:p>
                      <w:pPr>
                        <w:pStyle w:val="11"/>
                        <w:bidi w:val="0"/>
                      </w:pPr>
                      <w:r>
                        <w:rPr>
                          <w:rFonts w:hint="eastAsia"/>
                        </w:rPr>
                        <w:t>哈密市市场监督管理局</w:t>
                      </w:r>
                      <w:r>
                        <w:t xml:space="preserve">  </w:t>
                      </w:r>
                      <w:r>
                        <w:rPr>
                          <w:rStyle w:val="12"/>
                          <w:rFonts w:hint="eastAsia"/>
                          <w:b w:val="0"/>
                          <w:bCs/>
                        </w:rPr>
                        <w:t>发布</w:t>
                      </w:r>
                    </w:p>
                    <w:p>
                      <w:pPr>
                        <w:pStyle w:val="11"/>
                        <w:bidi w:val="0"/>
                      </w:pPr>
                    </w:p>
                  </w:txbxContent>
                </v:textbox>
                <w10:anchorlock/>
              </v:shape>
            </w:pict>
          </mc:Fallback>
        </mc:AlternateContent>
      </w:r>
      <w:r>
        <mc:AlternateContent>
          <mc:Choice Requires="wps">
            <w:drawing>
              <wp:anchor distT="0" distB="0" distL="114300" distR="114300" simplePos="0" relativeHeight="251665408" behindDoc="0" locked="1" layoutInCell="1" allowOverlap="1">
                <wp:simplePos x="0" y="0"/>
                <wp:positionH relativeFrom="margin">
                  <wp:posOffset>4330065</wp:posOffset>
                </wp:positionH>
                <wp:positionV relativeFrom="margin">
                  <wp:posOffset>8468360</wp:posOffset>
                </wp:positionV>
                <wp:extent cx="1515110" cy="312420"/>
                <wp:effectExtent l="0" t="0" r="8890" b="11430"/>
                <wp:wrapNone/>
                <wp:docPr id="7" name="文本框 7"/>
                <wp:cNvGraphicFramePr/>
                <a:graphic xmlns:a="http://schemas.openxmlformats.org/drawingml/2006/main">
                  <a:graphicData uri="http://schemas.microsoft.com/office/word/2010/wordprocessingShape">
                    <wps:wsp>
                      <wps:cNvSpPr txBox="1"/>
                      <wps:spPr>
                        <a:xfrm>
                          <a:off x="0" y="0"/>
                          <a:ext cx="1515110" cy="312420"/>
                        </a:xfrm>
                        <a:prstGeom prst="rect">
                          <a:avLst/>
                        </a:prstGeom>
                        <a:solidFill>
                          <a:srgbClr val="FFFFFF"/>
                        </a:solidFill>
                        <a:ln>
                          <a:noFill/>
                        </a:ln>
                        <a:effectLst/>
                      </wps:spPr>
                      <wps:txbx>
                        <w:txbxContent>
                          <w:p>
                            <w:pPr>
                              <w:pStyle w:val="13"/>
                            </w:pPr>
                            <w:r>
                              <w:t>20</w:t>
                            </w:r>
                            <w:r>
                              <w:rPr>
                                <w:rFonts w:hint="eastAsia"/>
                              </w:rPr>
                              <w:t>20－</w:t>
                            </w:r>
                            <w:r>
                              <w:rPr>
                                <w:rFonts w:hint="eastAsia"/>
                                <w:lang w:val="en-US" w:eastAsia="zh-CN"/>
                              </w:rPr>
                              <w:t>4</w:t>
                            </w:r>
                            <w:r>
                              <w:rPr>
                                <w:rFonts w:hint="eastAsia"/>
                              </w:rPr>
                              <w:t>－</w:t>
                            </w:r>
                            <w:r>
                              <w:rPr>
                                <w:rFonts w:hint="eastAsia"/>
                                <w:lang w:val="en-US" w:eastAsia="zh-CN"/>
                              </w:rPr>
                              <w:t>2</w:t>
                            </w:r>
                            <w:r>
                              <w:rPr>
                                <w:rFonts w:hint="eastAsia"/>
                              </w:rPr>
                              <w:t>0实施</w:t>
                            </w:r>
                          </w:p>
                        </w:txbxContent>
                      </wps:txbx>
                      <wps:bodyPr lIns="0" tIns="0" rIns="0" bIns="0" upright="1"/>
                    </wps:wsp>
                  </a:graphicData>
                </a:graphic>
              </wp:anchor>
            </w:drawing>
          </mc:Choice>
          <mc:Fallback>
            <w:pict>
              <v:shape id="_x0000_s1026" o:spid="_x0000_s1026" o:spt="202" type="#_x0000_t202" style="position:absolute;left:0pt;margin-left:340.95pt;margin-top:666.8pt;height:24.6pt;width:119.3pt;mso-position-horizontal-relative:margin;mso-position-vertical-relative:margin;z-index:251665408;mso-width-relative:page;mso-height-relative:page;" fillcolor="#FFFFFF" filled="t" stroked="f" coordsize="21600,21600" o:gfxdata="UEsDBAoAAAAAAIdO4kAAAAAAAAAAAAAAAAAEAAAAZHJzL1BLAwQUAAAACACHTuJAtQO3XNoAAAAN&#10;AQAADwAAAGRycy9kb3ducmV2LnhtbE2PwU7DMAyG70i8Q2QkLoglbUXVlaaT2OAGh41p56wJbUXj&#10;VEm6bm+Pd2JH+//1+XO1OtuBnYwPvUMJyUIAM9g43WMrYf/98VwAC1GhVoNDI+FiAqzq+7tKldrN&#10;uDWnXWwZQTCUSkIX41hyHprOWBUWbjRI2Y/zVkUafcu1VzPB7cBTIXJuVY90oVOjWXem+d1NVkK+&#10;8dO8xfXTZv/+qb7GNj28XQ5SPj4k4hVYNOf4X4arPqlDTU5HN6EObCBGkSypSkGWZTkwqixT8QLs&#10;eF0VaQG8rvjtF/UfUEsDBBQAAAAIAIdO4kDDmFbNtgEAAFsDAAAOAAAAZHJzL2Uyb0RvYy54bWyt&#10;U82O0zAQviPxDpbv1G35WRQ1XQlWRUgIkBYewHGcxJLtscbeJn0BeANOXLjzXH2OHbtNWeCGSCRn&#10;PP/fN5PN9eQs22uMBnzNV4slZ9oraI3va/750+7JS85ikr6VFryu+UFHfr19/GgzhkqvYQDbamSU&#10;xMdqDDUfUgqVEFEN2sm4gKA9GTtAJxNdsRctypGyOyvWy+ULMQK2AUHpGEl7czLybcnfdVqlD10X&#10;dWK25tRbKieWs8mn2G5k1aMMg1HnNuQ/dOGk8VT0kupGJsnu0PyVyhmFEKFLCwVOQNcZpQsGQrNa&#10;/oHmdpBBFyxETgwXmuL/S6ve7z8iM23Nrzjz0tGIjt++Hr//PP74wq4yPWOIFXndBvJL0yuYaMyz&#10;PpIyo546dPlLeBjZiejDhVw9JaZy0HN6V2RSZHu6Wj9bF/bFr+iAMb3R4FgWao40vMKp3L+LiToh&#10;19klF4tgTbsz1pYL9s1ri2wvadC78uQmKeQ3N+uzs4ccdjKfNLqsyrlMRnxClqU0NdOZhgbaA7Fg&#10;33qaQN6mWcBZaGbhLqDpB0JRuBI5EU2wNHTetrwiD+8kP/wntv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1A7dc2gAAAA0BAAAPAAAAAAAAAAEAIAAAACIAAABkcnMvZG93bnJldi54bWxQSwECFAAU&#10;AAAACACHTuJAw5hWzbYBAABbAwAADgAAAAAAAAABACAAAAApAQAAZHJzL2Uyb0RvYy54bWxQSwUG&#10;AAAAAAYABgBZAQAAUQUAAAAA&#10;">
                <v:fill on="t" focussize="0,0"/>
                <v:stroke on="f"/>
                <v:imagedata o:title=""/>
                <o:lock v:ext="edit" aspectratio="f"/>
                <v:textbox inset="0mm,0mm,0mm,0mm">
                  <w:txbxContent>
                    <w:p>
                      <w:pPr>
                        <w:pStyle w:val="13"/>
                      </w:pPr>
                      <w:r>
                        <w:t>20</w:t>
                      </w:r>
                      <w:r>
                        <w:rPr>
                          <w:rFonts w:hint="eastAsia"/>
                        </w:rPr>
                        <w:t>20－</w:t>
                      </w:r>
                      <w:r>
                        <w:rPr>
                          <w:rFonts w:hint="eastAsia"/>
                          <w:lang w:val="en-US" w:eastAsia="zh-CN"/>
                        </w:rPr>
                        <w:t>4</w:t>
                      </w:r>
                      <w:r>
                        <w:rPr>
                          <w:rFonts w:hint="eastAsia"/>
                        </w:rPr>
                        <w:t>－</w:t>
                      </w:r>
                      <w:r>
                        <w:rPr>
                          <w:rFonts w:hint="eastAsia"/>
                          <w:lang w:val="en-US" w:eastAsia="zh-CN"/>
                        </w:rPr>
                        <w:t>2</w:t>
                      </w:r>
                      <w:r>
                        <w:rPr>
                          <w:rFonts w:hint="eastAsia"/>
                        </w:rPr>
                        <w:t>0实施</w:t>
                      </w:r>
                    </w:p>
                  </w:txbxContent>
                </v:textbox>
                <w10:anchorlock/>
              </v:shape>
            </w:pict>
          </mc:Fallback>
        </mc:AlternateContent>
      </w:r>
      <w:r>
        <mc:AlternateContent>
          <mc:Choice Requires="wps">
            <w:drawing>
              <wp:anchor distT="0" distB="0" distL="114300" distR="114300" simplePos="0" relativeHeight="251664384" behindDoc="0" locked="1" layoutInCell="1" allowOverlap="1">
                <wp:simplePos x="0" y="0"/>
                <wp:positionH relativeFrom="margin">
                  <wp:posOffset>28575</wp:posOffset>
                </wp:positionH>
                <wp:positionV relativeFrom="margin">
                  <wp:posOffset>8468360</wp:posOffset>
                </wp:positionV>
                <wp:extent cx="1951355" cy="312420"/>
                <wp:effectExtent l="0" t="0" r="10795" b="11430"/>
                <wp:wrapNone/>
                <wp:docPr id="6" name="文本框 6"/>
                <wp:cNvGraphicFramePr/>
                <a:graphic xmlns:a="http://schemas.openxmlformats.org/drawingml/2006/main">
                  <a:graphicData uri="http://schemas.microsoft.com/office/word/2010/wordprocessingShape">
                    <wps:wsp>
                      <wps:cNvSpPr txBox="1"/>
                      <wps:spPr>
                        <a:xfrm>
                          <a:off x="0" y="0"/>
                          <a:ext cx="1951355" cy="312420"/>
                        </a:xfrm>
                        <a:prstGeom prst="rect">
                          <a:avLst/>
                        </a:prstGeom>
                        <a:solidFill>
                          <a:srgbClr val="FFFFFF"/>
                        </a:solidFill>
                        <a:ln>
                          <a:noFill/>
                        </a:ln>
                        <a:effectLst/>
                      </wps:spPr>
                      <wps:txbx>
                        <w:txbxContent>
                          <w:p>
                            <w:pPr>
                              <w:pStyle w:val="14"/>
                            </w:pPr>
                            <w:r>
                              <w:t>20</w:t>
                            </w:r>
                            <w:r>
                              <w:rPr>
                                <w:rFonts w:hint="eastAsia"/>
                              </w:rPr>
                              <w:t>20－</w:t>
                            </w:r>
                            <w:r>
                              <w:rPr>
                                <w:rFonts w:hint="eastAsia"/>
                                <w:lang w:val="en-US" w:eastAsia="zh-CN"/>
                              </w:rPr>
                              <w:t>3</w:t>
                            </w:r>
                            <w:r>
                              <w:rPr>
                                <w:rFonts w:hint="eastAsia"/>
                              </w:rPr>
                              <w:t>－</w:t>
                            </w:r>
                            <w:r>
                              <w:rPr>
                                <w:rFonts w:hint="eastAsia"/>
                                <w:lang w:val="en-US" w:eastAsia="zh-CN"/>
                              </w:rPr>
                              <w:t>20</w:t>
                            </w:r>
                            <w:r>
                              <w:rPr>
                                <w:rFonts w:hint="eastAsia"/>
                              </w:rPr>
                              <w:t>发布</w:t>
                            </w:r>
                          </w:p>
                          <w:p>
                            <w:pPr>
                              <w:pStyle w:val="14"/>
                            </w:pPr>
                          </w:p>
                        </w:txbxContent>
                      </wps:txbx>
                      <wps:bodyPr lIns="0" tIns="0" rIns="0" bIns="0" upright="1"/>
                    </wps:wsp>
                  </a:graphicData>
                </a:graphic>
              </wp:anchor>
            </w:drawing>
          </mc:Choice>
          <mc:Fallback>
            <w:pict>
              <v:shape id="_x0000_s1026" o:spid="_x0000_s1026" o:spt="202" type="#_x0000_t202" style="position:absolute;left:0pt;margin-left:2.25pt;margin-top:666.8pt;height:24.6pt;width:153.65pt;mso-position-horizontal-relative:margin;mso-position-vertical-relative:margin;z-index:251664384;mso-width-relative:page;mso-height-relative:page;" fillcolor="#FFFFFF" filled="t" stroked="f" coordsize="21600,21600" o:gfxdata="UEsDBAoAAAAAAIdO4kAAAAAAAAAAAAAAAAAEAAAAZHJzL1BLAwQUAAAACACHTuJAH2DsE9gAAAAL&#10;AQAADwAAAGRycy9kb3ducmV2LnhtbE2Py07DMBBF90j8gzVIbBB1HhBFaZxKtLCDRUvVtZtMk4h4&#10;HNlO0/490xUs587RfZSrixnEGZ3vLSmIFxEIpNo2PbUK9t8fzzkIHzQ1erCECq7oYVXd35W6aOxM&#10;WzzvQivYhHyhFXQhjIWUvu7QaL+wIxL/TtYZHfh0rWycntncDDKJokwa3RMndHrEdYf1z24yCrKN&#10;m+YtrZ82+/dP/TW2yeHtelDq8SGOliACXsIfDLf6XB0q7nS0EzVeDApeXhlkOU3TDAQDaRzzluNN&#10;ypMcZFXK/xuqX1BLAwQUAAAACACHTuJAmH/zhLoBAABbAwAADgAAAGRycy9lMm9Eb2MueG1srVNL&#10;jhMxEN0jcQfLe+IkQyJopTMSjIKQECANHMDttrst+aeyJ925ANyAFRv2nCvnmLKTDjPDDpGFU67P&#10;c71X1Zvr0RqylxC1dzVdzOaUSCd8q11X069fdi9eURITdy033smaHmSk19vnzzZDqOTS9960EgiC&#10;uFgNoaZ9SqFiLIpeWh5nPkiHQeXB8oRX6FgLfEB0a9hyPl+zwUMbwAsZI3pvTkG6LfhKSZE+KRVl&#10;Iqam2FsqJ5SzySfbbnjVAQ+9Fuc2+D90Ybl2+OgF6oYnTu5A/wVltQAfvUoz4S3zSmkhCwdks5g/&#10;YXPb8yALFxQnhotM8f/Bio/7z0B0W9M1JY5bHNHxx/fjz9/HX9/IOsszhFhh1m3AvDS+8SOOefJH&#10;dGbWowKb/5EPwTgKfbiIK8dERC56vVpcrVaUCIxdLZYvl0V99qc6QEzvpLckGzUFHF7RlO8/xISd&#10;YOqUkh+L3uh2p40pF+iatwbInuOgd+WXm8SSR2nG5WTnc9kpfPLIsirnZzLjE7NspbEZzzI0vj2g&#10;Cua9wwnkbZoMmIxmMu4C6K5HFkUrloFwgqWh87blFXl4R/vhN7G9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9g7BPYAAAACwEAAA8AAAAAAAAAAQAgAAAAIgAAAGRycy9kb3ducmV2LnhtbFBLAQIU&#10;ABQAAAAIAIdO4kCYf/OEugEAAFsDAAAOAAAAAAAAAAEAIAAAACcBAABkcnMvZTJvRG9jLnhtbFBL&#10;BQYAAAAABgAGAFkBAABTBQAAAAA=&#10;">
                <v:fill on="t" focussize="0,0"/>
                <v:stroke on="f"/>
                <v:imagedata o:title=""/>
                <o:lock v:ext="edit" aspectratio="f"/>
                <v:textbox inset="0mm,0mm,0mm,0mm">
                  <w:txbxContent>
                    <w:p>
                      <w:pPr>
                        <w:pStyle w:val="14"/>
                      </w:pPr>
                      <w:r>
                        <w:t>20</w:t>
                      </w:r>
                      <w:r>
                        <w:rPr>
                          <w:rFonts w:hint="eastAsia"/>
                        </w:rPr>
                        <w:t>20－</w:t>
                      </w:r>
                      <w:r>
                        <w:rPr>
                          <w:rFonts w:hint="eastAsia"/>
                          <w:lang w:val="en-US" w:eastAsia="zh-CN"/>
                        </w:rPr>
                        <w:t>3</w:t>
                      </w:r>
                      <w:r>
                        <w:rPr>
                          <w:rFonts w:hint="eastAsia"/>
                        </w:rPr>
                        <w:t>－</w:t>
                      </w:r>
                      <w:r>
                        <w:rPr>
                          <w:rFonts w:hint="eastAsia"/>
                          <w:lang w:val="en-US" w:eastAsia="zh-CN"/>
                        </w:rPr>
                        <w:t>20</w:t>
                      </w:r>
                      <w:r>
                        <w:rPr>
                          <w:rFonts w:hint="eastAsia"/>
                        </w:rPr>
                        <w:t>发布</w:t>
                      </w:r>
                    </w:p>
                    <w:p>
                      <w:pPr>
                        <w:pStyle w:val="14"/>
                      </w:pPr>
                    </w:p>
                  </w:txbxContent>
                </v:textbox>
                <w10:anchorlock/>
              </v:shape>
            </w:pict>
          </mc:Fallback>
        </mc:AlternateContent>
      </w:r>
      <w:r>
        <mc:AlternateContent>
          <mc:Choice Requires="wps">
            <w:drawing>
              <wp:anchor distT="0" distB="0" distL="114300" distR="114300" simplePos="0" relativeHeight="251663360" behindDoc="0" locked="1" layoutInCell="1" allowOverlap="1">
                <wp:simplePos x="0" y="0"/>
                <wp:positionH relativeFrom="margin">
                  <wp:posOffset>0</wp:posOffset>
                </wp:positionH>
                <wp:positionV relativeFrom="margin">
                  <wp:posOffset>3635375</wp:posOffset>
                </wp:positionV>
                <wp:extent cx="5969000" cy="1911985"/>
                <wp:effectExtent l="0" t="0" r="12700" b="12065"/>
                <wp:wrapNone/>
                <wp:docPr id="8" name="文本框 8"/>
                <wp:cNvGraphicFramePr/>
                <a:graphic xmlns:a="http://schemas.openxmlformats.org/drawingml/2006/main">
                  <a:graphicData uri="http://schemas.microsoft.com/office/word/2010/wordprocessingShape">
                    <wps:wsp>
                      <wps:cNvSpPr txBox="1"/>
                      <wps:spPr>
                        <a:xfrm>
                          <a:off x="0" y="0"/>
                          <a:ext cx="5969000" cy="1911985"/>
                        </a:xfrm>
                        <a:prstGeom prst="rect">
                          <a:avLst/>
                        </a:prstGeom>
                        <a:solidFill>
                          <a:srgbClr val="FFFFFF"/>
                        </a:solidFill>
                        <a:ln>
                          <a:noFill/>
                        </a:ln>
                        <a:effectLst/>
                      </wps:spPr>
                      <wps:txbx>
                        <w:txbxContent>
                          <w:p>
                            <w:pPr>
                              <w:pStyle w:val="15"/>
                              <w:rPr>
                                <w:lang w:val="zh-CN"/>
                              </w:rPr>
                            </w:pPr>
                            <w:r>
                              <w:rPr>
                                <w:lang w:val="zh-CN"/>
                              </w:rPr>
                              <w:t xml:space="preserve"> </w:t>
                            </w:r>
                          </w:p>
                          <w:p>
                            <w:pPr>
                              <w:pStyle w:val="15"/>
                            </w:pPr>
                            <w:r>
                              <w:rPr>
                                <w:rFonts w:hint="eastAsia"/>
                                <w:lang w:eastAsia="zh-CN"/>
                              </w:rPr>
                              <w:t>地理标志农产品</w:t>
                            </w:r>
                            <w:r>
                              <w:rPr>
                                <w:rFonts w:hint="eastAsia"/>
                                <w:lang w:val="en-US" w:eastAsia="zh-CN"/>
                              </w:rPr>
                              <w:t xml:space="preserve"> 哈密羊肉质量安全追溯操作</w:t>
                            </w:r>
                            <w:r>
                              <w:rPr>
                                <w:rFonts w:hint="eastAsia"/>
                              </w:rPr>
                              <w:t>规程</w:t>
                            </w:r>
                          </w:p>
                        </w:txbxContent>
                      </wps:txbx>
                      <wps:bodyPr lIns="0" tIns="0" rIns="0" bIns="0" upright="1"/>
                    </wps:wsp>
                  </a:graphicData>
                </a:graphic>
              </wp:anchor>
            </w:drawing>
          </mc:Choice>
          <mc:Fallback>
            <w:pict>
              <v:shape id="_x0000_s1026" o:spid="_x0000_s1026" o:spt="202" type="#_x0000_t202" style="position:absolute;left:0pt;margin-left:0pt;margin-top:286.25pt;height:150.55pt;width:470pt;mso-position-horizontal-relative:margin;mso-position-vertical-relative:margin;z-index:251663360;mso-width-relative:page;mso-height-relative:page;" fillcolor="#FFFFFF" filled="t" stroked="f" coordsize="21600,21600" o:gfxdata="UEsDBAoAAAAAAIdO4kAAAAAAAAAAAAAAAAAEAAAAZHJzL1BLAwQUAAAACACHTuJAiL/td9gAAAAI&#10;AQAADwAAAGRycy9kb3ducmV2LnhtbE2PwU7DMBBE70j8g7VIXBC1G2haQpxKtPQGh5aq521skoh4&#10;HcVO0/492xMcZ2c18yZfnl0rTrYPjScN04kCYan0pqFKw/5r87gAESKSwdaT1XCxAZbF7U2OmfEj&#10;be1pFyvBIRQy1FDH2GVShrK2DsPEd5bY+/a9w8iyr6TpceRw18pEqVQ6bIgbauzsqrblz25wGtJ1&#10;P4xbWj2s9+8f+NlVyeHtctD6/m6qXkFEe45/z3DFZ3QomOnoBzJBtBp4SNQwmyczEGy/PCu+HDUs&#10;5k8pyCKX/wcUv1BLAwQUAAAACACHTuJAxfZuyrgBAABcAwAADgAAAGRycy9lMm9Eb2MueG1srVNL&#10;btswEN0X6B0I7mtJARLYguUAbeCiQNEWSHMAiqIkAvxhyFjyBdobZNVN9z2Xz9EhJTlJuwuiBTWc&#10;GT3yvTfaXo9akYMAL62paLHKKRGG20aarqJ33/fv1pT4wEzDlDWiokfh6fXu7Zvt4EpxYXurGgEE&#10;QYwvB1fRPgRXZpnnvdDMr6wTBoutBc0CbqHLGmADomuVXeT5VTZYaBxYLrzH7M1UpLuE37aCh69t&#10;60UgqqJ4t5BWSGsd12y3ZWUHzPWSz9dgL7iFZtLgoWeoGxYYuQf5H5SWHKy3bVhxqzPbtpKLxAHZ&#10;FPk/bG575kTiguJ4d5bJvx4s/3L4BkQ2FUWjDNNo0enh5+nXn9PvH2Qd5RmcL7Hr1mFfGN/bEW1e&#10;8h6TkfXYgo5v5EOwjkIfz+KKMRCOycvN1SbPscSxVmyKYrO+jDjZ4+cOfPgorCYxqCige0lUdvjs&#10;w9S6tMTTvFWy2Uul0ga6+oMCcmDo9D49M/qzNmVis7Hxswlxyog0K/MxkfJELUZhrMdZh9o2R5RB&#10;fTJoQRynJYAlqJfg3oHsemSRxMoiEFqY6M7jFmfk6R7jpz/F7i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Iv+132AAAAAgBAAAPAAAAAAAAAAEAIAAAACIAAABkcnMvZG93bnJldi54bWxQSwECFAAU&#10;AAAACACHTuJAxfZuyrgBAABcAwAADgAAAAAAAAABACAAAAAnAQAAZHJzL2Uyb0RvYy54bWxQSwUG&#10;AAAAAAYABgBZAQAAUQUAAAAA&#10;">
                <v:fill on="t" focussize="0,0"/>
                <v:stroke on="f"/>
                <v:imagedata o:title=""/>
                <o:lock v:ext="edit" aspectratio="f"/>
                <v:textbox inset="0mm,0mm,0mm,0mm">
                  <w:txbxContent>
                    <w:p>
                      <w:pPr>
                        <w:pStyle w:val="15"/>
                        <w:rPr>
                          <w:lang w:val="zh-CN"/>
                        </w:rPr>
                      </w:pPr>
                      <w:r>
                        <w:rPr>
                          <w:lang w:val="zh-CN"/>
                        </w:rPr>
                        <w:t xml:space="preserve"> </w:t>
                      </w:r>
                    </w:p>
                    <w:p>
                      <w:pPr>
                        <w:pStyle w:val="15"/>
                      </w:pPr>
                      <w:r>
                        <w:rPr>
                          <w:rFonts w:hint="eastAsia"/>
                          <w:lang w:eastAsia="zh-CN"/>
                        </w:rPr>
                        <w:t>地理标志农产品</w:t>
                      </w:r>
                      <w:r>
                        <w:rPr>
                          <w:rFonts w:hint="eastAsia"/>
                          <w:lang w:val="en-US" w:eastAsia="zh-CN"/>
                        </w:rPr>
                        <w:t xml:space="preserve"> 哈密羊肉质量安全追溯操作</w:t>
                      </w:r>
                      <w:r>
                        <w:rPr>
                          <w:rFonts w:hint="eastAsia"/>
                        </w:rPr>
                        <w:t>规程</w:t>
                      </w:r>
                    </w:p>
                  </w:txbxContent>
                </v:textbox>
                <w10:anchorlock/>
              </v:shape>
            </w:pict>
          </mc:Fallback>
        </mc:AlternateContent>
      </w:r>
      <w:r>
        <mc:AlternateContent>
          <mc:Choice Requires="wps">
            <w:drawing>
              <wp:anchor distT="0" distB="0" distL="114300" distR="114300" simplePos="0" relativeHeight="251662336" behindDoc="0" locked="1" layoutInCell="1" allowOverlap="1">
                <wp:simplePos x="0" y="0"/>
                <wp:positionH relativeFrom="margin">
                  <wp:posOffset>4057650</wp:posOffset>
                </wp:positionH>
                <wp:positionV relativeFrom="margin">
                  <wp:posOffset>1617345</wp:posOffset>
                </wp:positionV>
                <wp:extent cx="1819275" cy="549275"/>
                <wp:effectExtent l="0" t="0" r="9525" b="3175"/>
                <wp:wrapNone/>
                <wp:docPr id="13" name="文本框 13"/>
                <wp:cNvGraphicFramePr/>
                <a:graphic xmlns:a="http://schemas.openxmlformats.org/drawingml/2006/main">
                  <a:graphicData uri="http://schemas.microsoft.com/office/word/2010/wordprocessingShape">
                    <wps:wsp>
                      <wps:cNvSpPr txBox="1"/>
                      <wps:spPr>
                        <a:xfrm>
                          <a:off x="0" y="0"/>
                          <a:ext cx="1904365" cy="577850"/>
                        </a:xfrm>
                        <a:prstGeom prst="rect">
                          <a:avLst/>
                        </a:prstGeom>
                        <a:solidFill>
                          <a:srgbClr val="FFFFFF"/>
                        </a:solidFill>
                        <a:ln>
                          <a:noFill/>
                        </a:ln>
                        <a:effectLst/>
                      </wps:spPr>
                      <wps:txbx>
                        <w:txbxContent>
                          <w:p>
                            <w:pPr>
                              <w:pStyle w:val="16"/>
                              <w:bidi w:val="0"/>
                            </w:pPr>
                            <w:r>
                              <w:t>DB65</w:t>
                            </w:r>
                            <w:r>
                              <w:rPr>
                                <w:rFonts w:hint="eastAsia"/>
                              </w:rPr>
                              <w:t>05</w:t>
                            </w:r>
                            <w:r>
                              <w:t>/T</w:t>
                            </w:r>
                            <w:r>
                              <w:rPr>
                                <w:rFonts w:hint="eastAsia"/>
                              </w:rPr>
                              <w:t xml:space="preserve"> </w:t>
                            </w:r>
                            <w:r>
                              <w:t>0</w:t>
                            </w:r>
                            <w:r>
                              <w:rPr>
                                <w:rFonts w:hint="eastAsia"/>
                                <w:lang w:val="en-US" w:eastAsia="zh-CN"/>
                              </w:rPr>
                              <w:t>98</w:t>
                            </w:r>
                            <w:r>
                              <w:rPr>
                                <w:rFonts w:hint="eastAsia"/>
                              </w:rPr>
                              <w:t>－</w:t>
                            </w:r>
                            <w:r>
                              <w:t>20</w:t>
                            </w:r>
                            <w:r>
                              <w:rPr>
                                <w:rFonts w:hint="eastAsia"/>
                              </w:rPr>
                              <w:t>2</w:t>
                            </w:r>
                            <w:r>
                              <w:rPr>
                                <w:rFonts w:hint="eastAsia"/>
                                <w:lang w:val="en-US" w:eastAsia="zh-CN"/>
                              </w:rPr>
                              <w:t>1</w:t>
                            </w:r>
                            <w:r>
                              <w:t xml:space="preserve"> </w:t>
                            </w:r>
                          </w:p>
                        </w:txbxContent>
                      </wps:txbx>
                      <wps:bodyPr lIns="0" tIns="0" rIns="0" bIns="0" upright="1"/>
                    </wps:wsp>
                  </a:graphicData>
                </a:graphic>
              </wp:anchor>
            </w:drawing>
          </mc:Choice>
          <mc:Fallback>
            <w:pict>
              <v:shape id="_x0000_s1026" o:spid="_x0000_s1026" o:spt="202" type="#_x0000_t202" style="position:absolute;left:0pt;margin-left:319.5pt;margin-top:127.35pt;height:43.25pt;width:143.25pt;mso-position-horizontal-relative:margin;mso-position-vertical-relative:margin;z-index:251662336;mso-width-relative:page;mso-height-relative:page;" fillcolor="#FFFFFF" filled="t" stroked="f" coordsize="21600,21600" o:gfxdata="UEsDBAoAAAAAAIdO4kAAAAAAAAAAAAAAAAAEAAAAZHJzL1BLAwQUAAAACACHTuJAncSjxNsAAAAL&#10;AQAADwAAAGRycy9kb3ducmV2LnhtbE2Py07DMBBF90j8gzVIbBB14jZ9hDiVaGFXFi1V19PYJBHx&#10;OLKdpv17zAqWo7k699xifTUdu2jnW0sS0kkCTFNlVUu1hOPn+/MSmA9ICjtLWsJNe1iX93cF5sqO&#10;tNeXQ6hZhJDPUUITQp9z7qtGG/QT22uKvy/rDIZ4uporh2OEm46LJJlzgy3FhgZ7vWl09X0YjIT5&#10;1g3jnjZP2+PbDj/6WpxebycpHx/S5AVY0NfwF4Zf/agOZXQ624GUZ11kTFdxS5AgstkCWEysRJYB&#10;O0uYzlIBvCz4/w3lD1BLAwQUAAAACACHTuJAUSzhl7sBAABdAwAADgAAAGRycy9lMm9Eb2MueG1s&#10;rVNLjhMxEN0jcQfLe+KeGTKfVjojwSgICQHSwAHcbrvbkn8qe9KdC8ANWLFhz7lyDspOOjPADpGF&#10;U656Va73qnp1O1lDthKi9q6hZ4uKEumE77TrG/r50+bFNSUxcddx451s6E5Gert+/mw1hlqe+8Gb&#10;TgLBIi7WY2jokFKoGYtikJbHhQ/SYVB5sDzhFXrWAR+xujXsvKou2eihC+CFjBG9d4cgXZf6SkmR&#10;PigVZSKmodhbKieUs80nW6943QMPgxbHNvg/dGG5dvjoqdQdT5w8gP6rlNUCfPQqLYS3zCulhSwc&#10;kM1Z9Qeb+4EHWbigODGcZIr/r6x4v/0IRHc4uwtKHLc4o/23r/vvP/c/vhD0oUBjiDXi7gMi0/TK&#10;Twie/RGdmfekwOZ/ZEQwjlLvTvLKKRGRk26qlxeXS0oExpZXV9fLoj97zA4Q0xvpLclGQwHHV1Tl&#10;23cxYScInSH5seiN7jbamHKBvn1tgGw5jnpTfrlJTPkNZlwGO5/TDuGDR5ZlOT6TGR+YZStN7XSU&#10;ofXdDlUwbx3OIO/TbMBstLPxEED3A7IoWrFcCGdYGjruW16Sp3e0n34V6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dxKPE2wAAAAsBAAAPAAAAAAAAAAEAIAAAACIAAABkcnMvZG93bnJldi54bWxQ&#10;SwECFAAUAAAACACHTuJAUSzhl7sBAABdAwAADgAAAAAAAAABACAAAAAqAQAAZHJzL2Uyb0RvYy54&#10;bWxQSwUGAAAAAAYABgBZAQAAVwUAAAAA&#10;">
                <v:fill on="t" focussize="0,0"/>
                <v:stroke on="f"/>
                <v:imagedata o:title=""/>
                <o:lock v:ext="edit" aspectratio="f"/>
                <v:textbox inset="0mm,0mm,0mm,0mm">
                  <w:txbxContent>
                    <w:p>
                      <w:pPr>
                        <w:pStyle w:val="16"/>
                        <w:bidi w:val="0"/>
                      </w:pPr>
                      <w:r>
                        <w:t>DB65</w:t>
                      </w:r>
                      <w:r>
                        <w:rPr>
                          <w:rFonts w:hint="eastAsia"/>
                        </w:rPr>
                        <w:t>05</w:t>
                      </w:r>
                      <w:r>
                        <w:t>/T</w:t>
                      </w:r>
                      <w:r>
                        <w:rPr>
                          <w:rFonts w:hint="eastAsia"/>
                        </w:rPr>
                        <w:t xml:space="preserve"> </w:t>
                      </w:r>
                      <w:r>
                        <w:t>0</w:t>
                      </w:r>
                      <w:r>
                        <w:rPr>
                          <w:rFonts w:hint="eastAsia"/>
                          <w:lang w:val="en-US" w:eastAsia="zh-CN"/>
                        </w:rPr>
                        <w:t>98</w:t>
                      </w:r>
                      <w:r>
                        <w:rPr>
                          <w:rFonts w:hint="eastAsia"/>
                        </w:rPr>
                        <w:t>－</w:t>
                      </w:r>
                      <w:r>
                        <w:t>20</w:t>
                      </w:r>
                      <w:r>
                        <w:rPr>
                          <w:rFonts w:hint="eastAsia"/>
                        </w:rPr>
                        <w:t>2</w:t>
                      </w:r>
                      <w:r>
                        <w:rPr>
                          <w:rFonts w:hint="eastAsia"/>
                          <w:lang w:val="en-US" w:eastAsia="zh-CN"/>
                        </w:rPr>
                        <w:t>1</w:t>
                      </w:r>
                      <w:r>
                        <w:t xml:space="preserve"> </w:t>
                      </w:r>
                    </w:p>
                  </w:txbxContent>
                </v:textbox>
                <w10:anchorlock/>
              </v:shape>
            </w:pict>
          </mc:Fallback>
        </mc:AlternateContent>
      </w:r>
      <w:r>
        <mc:AlternateContent>
          <mc:Choice Requires="wps">
            <w:drawing>
              <wp:anchor distT="0" distB="0" distL="114300" distR="114300" simplePos="0" relativeHeight="251661312" behindDoc="0" locked="1" layoutInCell="1" allowOverlap="1">
                <wp:simplePos x="0" y="0"/>
                <wp:positionH relativeFrom="margin">
                  <wp:posOffset>2447290</wp:posOffset>
                </wp:positionH>
                <wp:positionV relativeFrom="margin">
                  <wp:posOffset>0</wp:posOffset>
                </wp:positionV>
                <wp:extent cx="3531235" cy="720090"/>
                <wp:effectExtent l="0" t="0" r="12065" b="3810"/>
                <wp:wrapNone/>
                <wp:docPr id="12" name="文本框 12"/>
                <wp:cNvGraphicFramePr/>
                <a:graphic xmlns:a="http://schemas.openxmlformats.org/drawingml/2006/main">
                  <a:graphicData uri="http://schemas.microsoft.com/office/word/2010/wordprocessingShape">
                    <wps:wsp>
                      <wps:cNvSpPr txBox="1"/>
                      <wps:spPr>
                        <a:xfrm>
                          <a:off x="0" y="0"/>
                          <a:ext cx="3600450" cy="720090"/>
                        </a:xfrm>
                        <a:prstGeom prst="rect">
                          <a:avLst/>
                        </a:prstGeom>
                        <a:solidFill>
                          <a:srgbClr val="FFFFFF"/>
                        </a:solidFill>
                        <a:ln>
                          <a:noFill/>
                        </a:ln>
                        <a:effectLst/>
                      </wps:spPr>
                      <wps:txbx>
                        <w:txbxContent>
                          <w:p>
                            <w:pPr>
                              <w:pStyle w:val="17"/>
                              <w:bidi w:val="0"/>
                            </w:pPr>
                            <w:r>
                              <w:t>DB65</w:t>
                            </w:r>
                            <w:r>
                              <w:rPr>
                                <w:rFonts w:hint="eastAsia"/>
                              </w:rPr>
                              <w:t>0</w:t>
                            </w:r>
                            <w:r>
                              <w:t>5</w:t>
                            </w:r>
                            <w:r>
                              <w:rPr>
                                <w:rFonts w:hint="eastAsia"/>
                              </w:rPr>
                              <w:t>5</w:t>
                            </w:r>
                          </w:p>
                        </w:txbxContent>
                      </wps:txbx>
                      <wps:bodyPr lIns="0" tIns="0" rIns="0" bIns="0" upright="1"/>
                    </wps:wsp>
                  </a:graphicData>
                </a:graphic>
              </wp:anchor>
            </w:drawing>
          </mc:Choice>
          <mc:Fallback>
            <w:pict>
              <v:shape id="_x0000_s1026" o:spid="_x0000_s1026" o:spt="202" type="#_x0000_t202" style="position:absolute;left:0pt;margin-left:192.7pt;margin-top:0pt;height:56.7pt;width:278.05pt;mso-position-horizontal-relative:margin;mso-position-vertical-relative:margin;z-index:251661312;mso-width-relative:page;mso-height-relative:page;" fillcolor="#FFFFFF" filled="t" stroked="f" coordsize="21600,21600" o:gfxdata="UEsDBAoAAAAAAIdO4kAAAAAAAAAAAAAAAAAEAAAAZHJzL1BLAwQUAAAACACHTuJAXhp2W9gAAAAI&#10;AQAADwAAAGRycy9kb3ducmV2LnhtbE2PQU/CQBCF7yb+h82YeDGyLRQCtVsSQW96AAnnobu0jd3Z&#10;ZndL4d87nvQ4eV/efK9YX20nLsaH1pGCdJKAMFQ53VKt4PD1/rwEESKSxs6RUXAzAdbl/V2BuXYj&#10;7cxlH2vBJRRyVNDE2OdShqoxFsPE9YY4OztvMfLpa6k9jlxuOzlNkoW02BJ/aLA3m8ZU3/vBKlhs&#10;/TDuaPO0Pbx94GdfT4+vt6NSjw9p8gIimmv8g+FXn9WhZKeTG0gH0SmYLecZowp4EcerLJ2DODGX&#10;zjKQZSH/Dyh/AFBLAwQUAAAACACHTuJAedfKeLoBAABdAwAADgAAAGRycy9lMm9Eb2MueG1srVPN&#10;btQwEL4j8Q6W76zTbSkQbbZSWy1CQoBUeADHsRNL/tPY3WRfAN6AExfuPNc+B2PvZtvCDZGDM54Z&#10;j+f7vvHqarKGbCVE7V1DzxYVJdIJ32nXN/TL582L15TExF3HjXeyoTsZ6dX6+bPVGGq59IM3nQSC&#10;RVysx9DQIaVQMxbFIC2PCx+kw6DyYHnCLfSsAz5idWvYsqou2eihC+CFjBG9t4cgXZf6SkmRPioV&#10;ZSKmodhbKiuUtc0rW6943QMPgxbHNvg/dGG5dnjpqdQtT5zcg/6rlNUCfPQqLYS3zCulhSwYEM1Z&#10;9Qeau4EHWbAgOTGcaIr/r6z4sP0ERHeo3ZISxy1qtP/+bf/j1/7nV4I+JGgMsca8u4CZabr2EybP&#10;/ojOjHtSYPMfERGMI9W7E71ySkSg8/yyqi5eYkhg7BWq96bwzx5OB4jprfSWZKOhgPIVVvn2fUzY&#10;CabOKfmy6I3uNtqYsoG+vTFAthyl3pQvN4lHnqQZl5Odz8cO4YNHlmE5XpMRH5BlK03tdKSh9d0O&#10;WTDvHGqQ52k2YDba2bgPoPsBURSuWC6EGpaGjvOWh+TxHu3Hr2L9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F4adlvYAAAACAEAAA8AAAAAAAAAAQAgAAAAIgAAAGRycy9kb3ducmV2LnhtbFBLAQIU&#10;ABQAAAAIAIdO4kB518p4ugEAAF0DAAAOAAAAAAAAAAEAIAAAACcBAABkcnMvZTJvRG9jLnhtbFBL&#10;BQYAAAAABgAGAFkBAABTBQAAAAA=&#10;">
                <v:fill on="t" focussize="0,0"/>
                <v:stroke on="f"/>
                <v:imagedata o:title=""/>
                <o:lock v:ext="edit" aspectratio="f"/>
                <v:textbox inset="0mm,0mm,0mm,0mm">
                  <w:txbxContent>
                    <w:p>
                      <w:pPr>
                        <w:pStyle w:val="17"/>
                        <w:bidi w:val="0"/>
                      </w:pPr>
                      <w:r>
                        <w:t>DB65</w:t>
                      </w:r>
                      <w:r>
                        <w:rPr>
                          <w:rFonts w:hint="eastAsia"/>
                        </w:rPr>
                        <w:t>0</w:t>
                      </w:r>
                      <w:r>
                        <w:t>5</w:t>
                      </w:r>
                      <w:r>
                        <w:rPr>
                          <w:rFonts w:hint="eastAsia"/>
                        </w:rPr>
                        <w:t>5</w:t>
                      </w:r>
                    </w:p>
                  </w:txbxContent>
                </v:textbox>
                <w10:anchorlock/>
              </v:shape>
            </w:pict>
          </mc:Fallback>
        </mc:AlternateContent>
      </w:r>
      <w:r>
        <mc:AlternateContent>
          <mc:Choice Requires="wps">
            <w:drawing>
              <wp:anchor distT="0" distB="0" distL="114300" distR="114300" simplePos="0" relativeHeight="251660288" behindDoc="0" locked="1" layoutInCell="1" allowOverlap="1">
                <wp:simplePos x="0" y="0"/>
                <wp:positionH relativeFrom="margin">
                  <wp:posOffset>0</wp:posOffset>
                </wp:positionH>
                <wp:positionV relativeFrom="margin">
                  <wp:posOffset>1010920</wp:posOffset>
                </wp:positionV>
                <wp:extent cx="5941060" cy="574040"/>
                <wp:effectExtent l="0" t="0" r="2540" b="16510"/>
                <wp:wrapNone/>
                <wp:docPr id="14" name="文本框 14"/>
                <wp:cNvGraphicFramePr/>
                <a:graphic xmlns:a="http://schemas.openxmlformats.org/drawingml/2006/main">
                  <a:graphicData uri="http://schemas.microsoft.com/office/word/2010/wordprocessingShape">
                    <wps:wsp>
                      <wps:cNvSpPr txBox="1"/>
                      <wps:spPr>
                        <a:xfrm>
                          <a:off x="0" y="0"/>
                          <a:ext cx="5902325" cy="574040"/>
                        </a:xfrm>
                        <a:prstGeom prst="rect">
                          <a:avLst/>
                        </a:prstGeom>
                        <a:solidFill>
                          <a:srgbClr val="FFFFFF"/>
                        </a:solidFill>
                        <a:ln>
                          <a:noFill/>
                        </a:ln>
                        <a:effectLst/>
                      </wps:spPr>
                      <wps:txbx>
                        <w:txbxContent>
                          <w:p>
                            <w:pPr>
                              <w:pStyle w:val="15"/>
                              <w:bidi w:val="0"/>
                              <w:jc w:val="distribute"/>
                            </w:pPr>
                            <w:r>
                              <w:rPr>
                                <w:rFonts w:hint="eastAsia"/>
                              </w:rPr>
                              <w:t>哈密市地方标准</w:t>
                            </w:r>
                          </w:p>
                          <w:p>
                            <w:pPr>
                              <w:pStyle w:val="15"/>
                              <w:bidi w:val="0"/>
                              <w:jc w:val="distribute"/>
                            </w:pPr>
                          </w:p>
                        </w:txbxContent>
                      </wps:txbx>
                      <wps:bodyPr lIns="0" tIns="0" rIns="0" bIns="0" upright="1"/>
                    </wps:wsp>
                  </a:graphicData>
                </a:graphic>
              </wp:anchor>
            </w:drawing>
          </mc:Choice>
          <mc:Fallback>
            <w:pict>
              <v:shape id="_x0000_s1026" o:spid="_x0000_s1026" o:spt="202" type="#_x0000_t202" style="position:absolute;left:0pt;margin-left:0pt;margin-top:79.6pt;height:45.2pt;width:467.8pt;mso-position-horizontal-relative:margin;mso-position-vertical-relative:margin;z-index:251660288;mso-width-relative:page;mso-height-relative:page;" fillcolor="#FFFFFF" filled="t" stroked="f" coordsize="21600,21600" o:gfxdata="UEsDBAoAAAAAAIdO4kAAAAAAAAAAAAAAAAAEAAAAZHJzL1BLAwQUAAAACACHTuJA9akqy9gAAAAI&#10;AQAADwAAAGRycy9kb3ducmV2LnhtbE2PwU7DMBBE70j8g7VIXBB1GmjUhDiVaOEGh5aq523sJhHx&#10;OrKdpv17lhMcZ2c186ZcXWwvzsaHzpGC+SwBYah2uqNGwf7r/XEJIkQkjb0jo+BqAqyq25sSC+0m&#10;2przLjaCQygUqKCNcSikDHVrLIaZGwyxd3LeYmTpG6k9Thxue5kmSSYtdsQNLQ5m3Zr6ezdaBdnG&#10;j9OW1g+b/dsHfg5Neni9HpS6v5snLyCiucS/Z/jFZ3SomOnoRtJB9Ap4SOTrIk9BsJ0/LTIQRwXp&#10;c56BrEr5f0D1A1BLAwQUAAAACACHTuJAneL+W7sBAABdAwAADgAAAGRycy9lMm9Eb2MueG1srVPN&#10;jtMwEL4j8Q6W79TZ0vITNV0JVkVICJAWHsBx7MSS/zT2NukLwBtw4sKd5+pz7NhtygI3RA7OeObz&#10;eL5vxpvryRqylxC1dw29WlSUSCd8p13f0M+fdk9eUBITdx033smGHmSk19vHjzZjqOXSD950Eggm&#10;cbEeQ0OHlELNWBSDtDwufJAOg8qD5Qm30LMO+IjZrWHLqnrGRg9dAC9kjOi9OQXptuRXSor0Qako&#10;EzENxdpSWaGsbV7ZdsPrHngYtDiXwf+hCsu1w0svqW544uQO9F+prBbgo1dpIbxlXiktZOGAbK6q&#10;P9jcDjzIwgXFieEiU/x/acX7/UcgusPerShx3GKPjt++Hr//PP74QtCHAo0h1oi7DYhM0ys/IXj2&#10;R3Rm3pMCm//IiGAcpT5c5JVTIgKd65fV8ulyTYnA2Pr5qloV/dmv0wFieiO9JdloKGD7iqp8/y4m&#10;rAShMyRfFr3R3U4bUzbQt68NkD3HVu/Kl4vEI7/BjMtg5/OxU/jkkWVYztdkxidm2UpTO51laH13&#10;QBXMW4c9yPM0GzAb7WzcBdD9gCyKViwnwh6Wgs7zlofk4R7th69ie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1qSrL2AAAAAgBAAAPAAAAAAAAAAEAIAAAACIAAABkcnMvZG93bnJldi54bWxQSwEC&#10;FAAUAAAACACHTuJAneL+W7sBAABdAwAADgAAAAAAAAABACAAAAAnAQAAZHJzL2Uyb0RvYy54bWxQ&#10;SwUGAAAAAAYABgBZAQAAVAUAAAAA&#10;">
                <v:fill on="t" focussize="0,0"/>
                <v:stroke on="f"/>
                <v:imagedata o:title=""/>
                <o:lock v:ext="edit" aspectratio="f"/>
                <v:textbox inset="0mm,0mm,0mm,0mm">
                  <w:txbxContent>
                    <w:p>
                      <w:pPr>
                        <w:pStyle w:val="15"/>
                        <w:bidi w:val="0"/>
                        <w:jc w:val="distribute"/>
                      </w:pPr>
                      <w:r>
                        <w:rPr>
                          <w:rFonts w:hint="eastAsia"/>
                        </w:rPr>
                        <w:t>哈密市地方标准</w:t>
                      </w:r>
                    </w:p>
                    <w:p>
                      <w:pPr>
                        <w:pStyle w:val="15"/>
                        <w:bidi w:val="0"/>
                        <w:jc w:val="distribute"/>
                      </w:pPr>
                    </w:p>
                  </w:txbxContent>
                </v:textbox>
                <w10:anchorlock/>
              </v:shape>
            </w:pict>
          </mc:Fallback>
        </mc:AlternateContent>
      </w:r>
      <w:r>
        <w:rPr>
          <w:rFonts w:ascii="黑体" w:hAnsi="黑体" w:eastAsia="黑体"/>
        </w:rPr>
        <w:t xml:space="preserve">ICS </w:t>
      </w:r>
      <w:r>
        <w:rPr>
          <w:rFonts w:hint="eastAsia" w:ascii="黑体" w:hAnsi="黑体" w:eastAsia="黑体"/>
        </w:rPr>
        <w:t xml:space="preserve"> 65.020.30</w:t>
      </w:r>
    </w:p>
    <w:p>
      <w:pPr>
        <w:rPr>
          <w:rFonts w:ascii="黑体" w:hAnsi="黑体" w:eastAsia="黑体"/>
        </w:rPr>
      </w:pPr>
      <w:r>
        <w:rPr>
          <w:rFonts w:hint="eastAsia" w:ascii="黑体" w:hAnsi="黑体" w:eastAsia="黑体"/>
        </w:rPr>
        <w:t>B 44</w:t>
      </w:r>
    </w:p>
    <w:bookmarkEnd w:id="0"/>
    <w:p>
      <w:pPr>
        <w:rPr>
          <w:rFonts w:ascii="黑体" w:hAnsi="黑体" w:eastAsia="黑体"/>
        </w:rPr>
      </w:pPr>
    </w:p>
    <w:p/>
    <w:p/>
    <w:p/>
    <w:p/>
    <w:p/>
    <w:p/>
    <w:p/>
    <w:p/>
    <w:p>
      <w:r>
        <mc:AlternateContent>
          <mc:Choice Requires="wps">
            <w:drawing>
              <wp:anchor distT="0" distB="0" distL="114300" distR="114300" simplePos="0" relativeHeight="251667456" behindDoc="0" locked="0" layoutInCell="1" allowOverlap="1">
                <wp:simplePos x="0" y="0"/>
                <wp:positionH relativeFrom="column">
                  <wp:posOffset>-9525</wp:posOffset>
                </wp:positionH>
                <wp:positionV relativeFrom="paragraph">
                  <wp:posOffset>93980</wp:posOffset>
                </wp:positionV>
                <wp:extent cx="5980430" cy="0"/>
                <wp:effectExtent l="0" t="0" r="0" b="0"/>
                <wp:wrapNone/>
                <wp:docPr id="9" name="直接连接符 9"/>
                <wp:cNvGraphicFramePr/>
                <a:graphic xmlns:a="http://schemas.openxmlformats.org/drawingml/2006/main">
                  <a:graphicData uri="http://schemas.microsoft.com/office/word/2010/wordprocessingShape">
                    <wps:wsp>
                      <wps:cNvCnPr/>
                      <wps:spPr>
                        <a:xfrm>
                          <a:off x="0" y="0"/>
                          <a:ext cx="5980430" cy="0"/>
                        </a:xfrm>
                        <a:prstGeom prst="line">
                          <a:avLst/>
                        </a:prstGeom>
                        <a:ln w="12700" cap="flat" cmpd="sng">
                          <a:solidFill>
                            <a:srgbClr val="800008"/>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75pt;margin-top:7.4pt;height:0pt;width:470.9pt;z-index:251667456;mso-width-relative:page;mso-height-relative:page;" filled="f" stroked="t" coordsize="21600,21600" o:gfxdata="UEsDBAoAAAAAAIdO4kAAAAAAAAAAAAAAAAAEAAAAZHJzL1BLAwQUAAAACACHTuJAMlH0mdQAAAAI&#10;AQAADwAAAGRycy9kb3ducmV2LnhtbE2PQUvDQBCF74L/YRnBi7Sz0VRszKagIHi1FsTbNjtNgtnZ&#10;kN0m9d874sEe573Hm++Vm5Pv1URj7AIbyJYaFHEdXMeNgd37y+IBVEyWne0Dk4FvirCpLi9KW7gw&#10;8xtN29QoKeFYWANtSkOBGOuWvI3LMBCLdwijt0nOsUE32lnKfY+3Wt+jtx3Lh9YO9NxS/bU9egPz&#10;xyvWn+sb7VfTLuFB50/aB2OurzL9CCrRKf2H4Rdf0KESpn04souqN7DIVpIUPZcF4q9zfQdq/ydg&#10;VeL5gOoHUEsDBBQAAAAIAIdO4kBg7pG24QEAAKUDAAAOAAAAZHJzL2Uyb0RvYy54bWytU0uOEzEQ&#10;3SNxB8t70p3wS1rpzGLCsEEQCThAxXZ3W/JPLk86uQQXQGIHK5bsuQ3DMSg7mTDABiF64S67qp7r&#10;vX69vNhbw3Yqovau5dNJzZlywkvt+pa/fXP1YM4ZJnASjHeq5QeF/GJ1/95yDI2a+cEbqSIjEIfN&#10;GFo+pBSaqkIxKAs48UE5SnY+Wki0jX0lI4yEbk01q+sn1eijDNELhUin62OSrwp+1ymRXnUdqsRM&#10;y2m2VNZY1m1eq9USmj5CGLQ4jQH/MIUF7ejSM9QaErDrqP+AslpEj75LE+Ft5btOC1U4EJtp/Rub&#10;1wMEVbiQOBjOMuH/gxUvd5vItGz5gjMHlj7Rzfsv3959/P71A603nz+xRRZpDNhQ7aXbxNMOwyZm&#10;xvsu2vwmLmxfhD2chVX7xAQdPl7M60cPSX9xm6t+NoaI6bnyluWg5Ua7zBka2L3ARJdR6W1JPjaO&#10;jeS02dM64wF5pjOQKLSBWKDrSzN6o+WVNia3YOy3lyayHZAL5jU988yJgH8py7esAYdjXUkd/TEo&#10;kM+cZOkQSB9HRuZ5BqskZ0aR73NEgNAk0OZvKulq43KDKh49Ec0iH2XN0dbLA32b6xB1P5Aw0zJz&#10;zpAXyvQn32az3d1TfPfvWv0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lH0mdQAAAAIAQAADwAA&#10;AAAAAAABACAAAAAiAAAAZHJzL2Rvd25yZXYueG1sUEsBAhQAFAAAAAgAh07iQGDukbbhAQAApQMA&#10;AA4AAAAAAAAAAQAgAAAAIwEAAGRycy9lMm9Eb2MueG1sUEsFBgAAAAAGAAYAWQEAAHYFAAAAAA==&#10;">
                <v:fill on="f" focussize="0,0"/>
                <v:stroke weight="1pt" color="#800008" joinstyle="round"/>
                <v:imagedata o:title=""/>
                <o:lock v:ext="edit" aspectratio="f"/>
              </v:line>
            </w:pict>
          </mc:Fallback>
        </mc:AlternateContent>
      </w:r>
    </w:p>
    <w:p/>
    <w:p/>
    <w:p/>
    <w:p/>
    <w:p/>
    <w:p/>
    <w:p/>
    <w:p/>
    <w:p/>
    <w:p/>
    <w:p/>
    <w:p/>
    <w:p/>
    <w:p/>
    <w:p/>
    <w:p/>
    <w:p/>
    <w:p/>
    <w:p/>
    <w:p/>
    <w:p/>
    <w:p/>
    <w:p/>
    <w:p/>
    <w:p/>
    <w:p/>
    <w:p/>
    <w:p/>
    <w:p/>
    <w:p/>
    <w:p>
      <w:r>
        <mc:AlternateContent>
          <mc:Choice Requires="wps">
            <w:drawing>
              <wp:anchor distT="0" distB="0" distL="114300" distR="114300" simplePos="0" relativeHeight="251669504" behindDoc="0" locked="0" layoutInCell="1" allowOverlap="1">
                <wp:simplePos x="0" y="0"/>
                <wp:positionH relativeFrom="column">
                  <wp:posOffset>1108710</wp:posOffset>
                </wp:positionH>
                <wp:positionV relativeFrom="paragraph">
                  <wp:posOffset>172720</wp:posOffset>
                </wp:positionV>
                <wp:extent cx="790575" cy="466090"/>
                <wp:effectExtent l="0" t="0" r="0" b="0"/>
                <wp:wrapNone/>
                <wp:docPr id="5" name="文本框 5"/>
                <wp:cNvGraphicFramePr/>
                <a:graphic xmlns:a="http://schemas.openxmlformats.org/drawingml/2006/main">
                  <a:graphicData uri="http://schemas.microsoft.com/office/word/2010/wordprocessingShape">
                    <wps:wsp>
                      <wps:cNvSpPr txBox="1"/>
                      <wps:spPr>
                        <a:xfrm>
                          <a:off x="2199640" y="9006205"/>
                          <a:ext cx="790575" cy="466090"/>
                        </a:xfrm>
                        <a:prstGeom prst="rect">
                          <a:avLst/>
                        </a:prstGeom>
                        <a:noFill/>
                        <a:ln w="6350">
                          <a:noFill/>
                        </a:ln>
                        <a:effectLst/>
                      </wps:spPr>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7.3pt;margin-top:13.6pt;height:36.7pt;width:62.25pt;z-index:251669504;mso-width-relative:page;mso-height-relative:page;" filled="f" stroked="f" coordsize="21600,21600" o:gfxdata="UEsDBAoAAAAAAIdO4kAAAAAAAAAAAAAAAAAEAAAAZHJzL1BLAwQUAAAACACHTuJAdXrqbtkAAAAK&#10;AQAADwAAAGRycy9kb3ducmV2LnhtbE2PS0/DMBCE70j8B2srcaNOLOgjxKlQpAoJwaGlF26beJtE&#10;je0Quw/49SynchzNaOabfHWxvTjRGDrvNKTTBAS52pvONRp2H+v7BYgQ0RnsvSMN3xRgVdze5JgZ&#10;f3YbOm1jI7jEhQw1tDEOmZShbslimPqBHHt7P1qMLMdGmhHPXG57qZJkJi12jhdaHKhsqT5sj1bD&#10;a7l+x02l7OKnL1/e9s/D1+7zUeu7SZo8gYh0idcw/OEzOhTMVPmjM0H0rOcPM45qUHMFggNquUxB&#10;VOzwLsgil/8vFL9QSwMEFAAAAAgAh07iQHr0ub8xAgAAMQQAAA4AAABkcnMvZTJvRG9jLnhtbK1T&#10;zY7TMBC+I/EOlu80aWm7JGq6KrsqQqrYlQri7Dp2E8nxGNttUh4A3oATF+48V5+DsdN2K+CEuDgz&#10;ni/f+Juf2W3XKLIX1tWgCzocpJQIzaGs9bagH94vX7yixHmmS6ZAi4IehKO38+fPZq3JxQgqUKWw&#10;BEm0y1tT0Mp7kyeJ45VomBuAERqDEmzDPLp2m5SWtcjeqGSUptOkBVsaC1w4h7f3fZDOI7+UgvsH&#10;KZ3wRBUU3+bjaeO5CWcyn7F8a5mpan56BvuHVzSs1pj0QnXPPCM7W/9B1dTcggPpBxyaBKSsuYga&#10;UM0w/U3NumJGRC1YHGcuZXL/j5a/2z9aUpcFnVCiWYMtOn77evz+8/jjC5mE8rTG5YhaG8T57jV0&#10;2ObzvcPLoLqTtglf1EMwPhpm2XSM5T4UNMMmjdLIxHLRecIRcJOlkxtMyBEwnk7TLDYieSIy1vk3&#10;AhoSjIJa7GMsL9uvnMdHIfQMCXk1LGulYi+VJm1Bpy8nafzhEsE/lA5YEafiRBPE9SKC5btNd1K8&#10;gfKAgi30E+MMX9b4lBVz/pFZHBFUh2PvH/CQCjAlnCxKKrCf/3Yf8Ng5jFLS4sgV1H3aMSsoUW81&#10;9jQbjkPRfHTGk5sROvY6srmO6F1zBzjVQ1www6MZ8F6dTWmh+YjbsQhZMcQ0x9wF9WfzzveLgNvF&#10;xWIRQTiVhvmVXhseqPviLnYeZB3rHsrU1wabEBycy9iO0w6Fwb/2I+pp0+e/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V66m7ZAAAACgEAAA8AAAAAAAAAAQAgAAAAIgAAAGRycy9kb3ducmV2Lnht&#10;bFBLAQIUABQAAAAIAIdO4kB69Lm/MQIAADEEAAAOAAAAAAAAAAEAIAAAACgBAABkcnMvZTJvRG9j&#10;LnhtbFBLBQYAAAAABgAGAFkBAADLBQAAAAA=&#10;">
                <v:fill on="f" focussize="0,0"/>
                <v:stroke on="f" weight="0.5pt"/>
                <v:imagedata o:title=""/>
                <o:lock v:ext="edit" aspectratio="f"/>
                <v:textbox>
                  <w:txbxContent>
                    <w:p/>
                  </w:txbxContent>
                </v:textbox>
              </v:shape>
            </w:pict>
          </mc:Fallback>
        </mc:AlternateContent>
      </w:r>
    </w:p>
    <w:p>
      <w:pPr>
        <w:tabs>
          <w:tab w:val="left" w:pos="2046"/>
        </w:tabs>
        <w:jc w:val="left"/>
        <w:sectPr>
          <w:headerReference r:id="rId5" w:type="first"/>
          <w:headerReference r:id="rId3" w:type="default"/>
          <w:footerReference r:id="rId6" w:type="default"/>
          <w:headerReference r:id="rId4" w:type="even"/>
          <w:footerReference r:id="rId7" w:type="even"/>
          <w:pgSz w:w="11907" w:h="16839"/>
          <w:pgMar w:top="567" w:right="1029" w:bottom="1361" w:left="1418" w:header="0" w:footer="0" w:gutter="0"/>
          <w:pgNumType w:fmt="decimal" w:start="1"/>
          <w:cols w:space="720" w:num="1"/>
          <w:titlePg/>
          <w:docGrid w:type="lines" w:linePitch="312" w:charSpace="0"/>
        </w:sectPr>
      </w:pPr>
      <w: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332740</wp:posOffset>
                </wp:positionV>
                <wp:extent cx="5959475" cy="635"/>
                <wp:effectExtent l="0" t="0" r="0" b="0"/>
                <wp:wrapNone/>
                <wp:docPr id="10" name="直接连接符 10"/>
                <wp:cNvGraphicFramePr/>
                <a:graphic xmlns:a="http://schemas.openxmlformats.org/drawingml/2006/main">
                  <a:graphicData uri="http://schemas.microsoft.com/office/word/2010/wordprocessingShape">
                    <wps:wsp>
                      <wps:cNvCnPr/>
                      <wps:spPr>
                        <a:xfrm>
                          <a:off x="0" y="0"/>
                          <a:ext cx="6121400" cy="0"/>
                        </a:xfrm>
                        <a:prstGeom prst="line">
                          <a:avLst/>
                        </a:prstGeom>
                        <a:ln w="190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26.2pt;height:0.05pt;width:469.25pt;z-index:251668480;mso-width-relative:page;mso-height-relative:page;" filled="f" stroked="t" coordsize="21600,21600" o:gfxdata="UEsDBAoAAAAAAIdO4kAAAAAAAAAAAAAAAAAEAAAAZHJzL1BLAwQUAAAACACHTuJAqdgaaNQAAAAG&#10;AQAADwAAAGRycy9kb3ducmV2LnhtbE2PwU7DMAyG70i8Q2QkbizdWFFXmk5iEpfdKBNw9BrTVjRO&#10;1WTd+vZ4Jzja/6/Pn4vtxfVqojF0ng0sFwko4trbjhsDh/fXhwxUiMgWe89kYKYA2/L2psDc+jO/&#10;0VTFRgmEQ44G2hiHXOtQt+QwLPxALNm3Hx1GGcdG2xHPAne9XiXJk3bYsVxocaBdS/VPdXJCST+z&#10;lz1mh3nuq6/Nevexn9gZc3+3TJ5BRbrEvzJc9UUdSnE6+hPboHoD8kg0kK7WoCTdPGYpqON1kYIu&#10;C/1fv/wFUEsDBBQAAAAIAIdO4kCf6Tws3wEAAKcDAAAOAAAAZHJzL2Uyb0RvYy54bWytU0uOEzEQ&#10;3SNxB8t70t0RjKCVziwmDBsEkYADVGx3tyX/5PKkk0twASR2sGLJntswcwzKTiYMMxuEyMIpu8qv&#10;6j2/XpzvrGFbFVF71/FmVnOmnPBSu6HjH95fPnnOGSZwEox3quN7hfx8+fjRYgqtmvvRG6kiIxCH&#10;7RQ6PqYU2qpCMSoLOPNBOUr2PlpItI1DJSNMhG5NNa/rs2ryUYbohUKk09UhyZcFv++VSG/7HlVi&#10;puM0WyprLOsmr9VyAe0QIYxaHMeAf5jCgnbU9AS1ggTsKuoHUFaL6NH3aSa8rXzfa6EKB2LT1PfY&#10;vBshqMKFxMFwkgn/H6x4s11HpiW9HcnjwNIbXX/6/vPjl5sfn2m9/vaVUYZkmgK2VH3h1vG4w7CO&#10;mfOujzb/Exu2K9LuT9KqXWKCDs+aefO0phbiNlf9vhgiplfKW5aDjhvtMmtoYfsaEzWj0tuSfGwc&#10;m2jeF/WzjAfkmt5AotAG4oFuKJfRGy0vtTH5CsZhc2Ei20L2QfllTgT8R1nusgIcD3UldXDIqEC+&#10;dJKlfSCBHFmZ5xmskpwZRc7PEQFCm0Cbv6mk1sblC6q49Eg0i3yQNUcbL/f0Olch6mEkYZoyc86Q&#10;G8r0R+dmu93dU3z3+1r+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KnYGmjUAAAABgEAAA8AAAAA&#10;AAAAAQAgAAAAIgAAAGRycy9kb3ducmV2LnhtbFBLAQIUABQAAAAIAIdO4kCf6Tws3wEAAKcDAAAO&#10;AAAAAAAAAAEAIAAAACMBAABkcnMvZTJvRG9jLnhtbFBLBQYAAAAABgAGAFkBAAB0BQAAAAA=&#10;">
                <v:fill on="f" focussize="0,0"/>
                <v:stroke weight="1.5pt" color="#000000" joinstyle="round"/>
                <v:imagedata o:title=""/>
                <o:lock v:ext="edit" aspectratio="f"/>
              </v:line>
            </w:pict>
          </mc:Fallback>
        </mc:AlternateContent>
      </w:r>
      <w:r>
        <w:tab/>
      </w:r>
    </w:p>
    <w:p>
      <w:pPr>
        <w:pStyle w:val="8"/>
        <w:rPr>
          <w:rFonts w:hint="eastAsia"/>
        </w:rPr>
      </w:pPr>
      <w:r>
        <w:rPr>
          <w:rFonts w:hint="eastAsia"/>
        </w:rPr>
        <w:t>前</w:t>
      </w:r>
      <w:bookmarkStart w:id="1" w:name="BKQY"/>
      <w:r>
        <w:rPr>
          <w:rFonts w:hAnsi="黑体"/>
        </w:rPr>
        <w:t>  </w:t>
      </w:r>
      <w:r>
        <w:rPr>
          <w:rFonts w:hint="eastAsia"/>
        </w:rPr>
        <w:t>言</w:t>
      </w:r>
      <w:bookmarkEnd w:id="1"/>
    </w:p>
    <w:p>
      <w:pPr>
        <w:pStyle w:val="9"/>
        <w:rPr>
          <w:rFonts w:hint="eastAsia"/>
        </w:rPr>
      </w:pPr>
      <w:r>
        <w:rPr>
          <w:rFonts w:hint="eastAsia"/>
        </w:rPr>
        <w:t>本标准根据中华人民共和国国家标准GB/T 1.1-2020《标准化工作导则_第1部分：标准的结构和编写》给出的规则起草。</w:t>
      </w:r>
    </w:p>
    <w:p>
      <w:pPr>
        <w:pStyle w:val="9"/>
        <w:rPr>
          <w:rFonts w:hint="eastAsia"/>
        </w:rPr>
      </w:pPr>
      <w:r>
        <w:rPr>
          <w:rFonts w:hint="eastAsia"/>
        </w:rPr>
        <w:t>本标准由哈密市畜牧工作站提出。</w:t>
      </w:r>
    </w:p>
    <w:p>
      <w:pPr>
        <w:pStyle w:val="9"/>
        <w:rPr>
          <w:rFonts w:hint="eastAsia"/>
        </w:rPr>
      </w:pPr>
      <w:r>
        <w:rPr>
          <w:rFonts w:hint="eastAsia"/>
        </w:rPr>
        <w:t>本标准由哈密市农业农村局归口。</w:t>
      </w:r>
    </w:p>
    <w:p>
      <w:pPr>
        <w:pStyle w:val="9"/>
        <w:rPr>
          <w:rFonts w:hint="eastAsia"/>
        </w:rPr>
      </w:pPr>
      <w:r>
        <w:rPr>
          <w:rFonts w:hint="eastAsia"/>
        </w:rPr>
        <w:t>本标准主要起草单位：哈密市畜牧工作站</w:t>
      </w:r>
    </w:p>
    <w:p>
      <w:pPr>
        <w:pStyle w:val="9"/>
        <w:sectPr>
          <w:headerReference r:id="rId8" w:type="default"/>
          <w:footerReference r:id="rId9" w:type="default"/>
          <w:pgSz w:w="11906" w:h="16838"/>
          <w:pgMar w:top="567" w:right="1134" w:bottom="1134" w:left="1418" w:header="1418" w:footer="1134" w:gutter="0"/>
          <w:pgNumType w:fmt="upperRoman" w:start="1"/>
          <w:cols w:space="720" w:num="1"/>
          <w:formProt w:val="0"/>
          <w:docGrid w:type="lines" w:linePitch="312" w:charSpace="0"/>
        </w:sectPr>
      </w:pPr>
      <w:r>
        <w:rPr>
          <w:rFonts w:hint="eastAsia"/>
        </w:rPr>
        <w:t>本标准主要起草人：达成菁、黄浩、宁忠山、李文彩、叶峰</w:t>
      </w:r>
    </w:p>
    <w:bookmarkEnd w:id="2"/>
    <w:p>
      <w:pPr>
        <w:pStyle w:val="10"/>
        <w:rPr>
          <w:rFonts w:hint="eastAsia"/>
        </w:rPr>
      </w:pPr>
      <w:r>
        <w:rPr>
          <w:rFonts w:hint="eastAsia"/>
        </w:rPr>
        <w:t>地理标志农产品 哈密羊肉质量安全追溯操作规程</w:t>
      </w:r>
    </w:p>
    <w:p>
      <w:pPr>
        <w:pStyle w:val="22"/>
        <w:rPr>
          <w:rFonts w:hint="eastAsia"/>
        </w:rPr>
      </w:pPr>
      <w:r>
        <w:rPr>
          <w:rFonts w:hint="eastAsia"/>
        </w:rPr>
        <w:t>范围</w:t>
      </w:r>
    </w:p>
    <w:p>
      <w:pPr>
        <w:pStyle w:val="9"/>
        <w:rPr>
          <w:rFonts w:hint="eastAsia"/>
        </w:rPr>
      </w:pPr>
      <w:r>
        <w:rPr>
          <w:rFonts w:hint="eastAsia"/>
        </w:rPr>
        <w:t>本标准规定了地理标志农产品 哈密羊肉</w:t>
      </w:r>
      <w:r>
        <w:rPr>
          <w:rFonts w:hint="eastAsia"/>
          <w:lang w:eastAsia="zh-CN"/>
        </w:rPr>
        <w:t>产品</w:t>
      </w:r>
      <w:r>
        <w:rPr>
          <w:rFonts w:hint="eastAsia"/>
        </w:rPr>
        <w:t>（以下简称哈密羊肉产品）质量安全追溯的术语和定义、实施原则与要求、体系实施、质量安全问题处理和体系运行自查。</w:t>
      </w:r>
    </w:p>
    <w:p>
      <w:pPr>
        <w:pStyle w:val="9"/>
        <w:rPr>
          <w:rFonts w:hint="eastAsia"/>
        </w:rPr>
      </w:pPr>
      <w:r>
        <w:rPr>
          <w:rFonts w:hint="eastAsia"/>
        </w:rPr>
        <w:t>本标准适</w:t>
      </w:r>
      <w:r>
        <w:rPr>
          <w:rFonts w:hint="eastAsia"/>
          <w:color w:val="000000"/>
        </w:rPr>
        <w:t>用于哈密羊肉产品</w:t>
      </w:r>
      <w:r>
        <w:rPr>
          <w:rFonts w:hint="eastAsia"/>
          <w:color w:val="000000"/>
          <w:lang w:eastAsia="zh-CN"/>
        </w:rPr>
        <w:t>的</w:t>
      </w:r>
      <w:r>
        <w:rPr>
          <w:rFonts w:hint="eastAsia"/>
        </w:rPr>
        <w:t>质量安全追溯体系实施。</w:t>
      </w:r>
    </w:p>
    <w:p>
      <w:pPr>
        <w:pStyle w:val="22"/>
        <w:rPr>
          <w:rFonts w:hint="eastAsia"/>
        </w:rPr>
      </w:pPr>
      <w:r>
        <w:rPr>
          <w:rFonts w:hint="eastAsia"/>
        </w:rPr>
        <w:t>规范性引用文件</w:t>
      </w:r>
    </w:p>
    <w:p>
      <w:pPr>
        <w:pStyle w:val="9"/>
        <w:rPr>
          <w:rFonts w:hint="eastAsia"/>
        </w:rPr>
      </w:pPr>
      <w:r>
        <w:rPr>
          <w:rFonts w:hint="eastAsia"/>
        </w:rPr>
        <w:t>下列文件中的条款通过本标准的引用而成为本标准条款。凡是注日期的引用文件，仅所注日期的版本适用于本文件。凡是不注日期的引用文件，其最新版本（包括所有的修改单）适用于本文件。</w:t>
      </w:r>
    </w:p>
    <w:p>
      <w:pPr>
        <w:pStyle w:val="9"/>
        <w:rPr>
          <w:rFonts w:hint="eastAsia"/>
        </w:rPr>
      </w:pPr>
      <w:r>
        <w:rPr>
          <w:rFonts w:hint="eastAsia"/>
        </w:rPr>
        <w:t>NY/T 1761 农产品质量安全追溯操作规程</w:t>
      </w:r>
      <w:r>
        <w:rPr>
          <w:rFonts w:hint="eastAsia"/>
          <w:lang w:val="en-US" w:eastAsia="zh-CN"/>
        </w:rPr>
        <w:t xml:space="preserve"> </w:t>
      </w:r>
      <w:r>
        <w:rPr>
          <w:rFonts w:hint="eastAsia"/>
        </w:rPr>
        <w:t>通则</w:t>
      </w:r>
    </w:p>
    <w:p>
      <w:pPr>
        <w:pStyle w:val="9"/>
        <w:rPr>
          <w:rFonts w:hint="eastAsia"/>
        </w:rPr>
      </w:pPr>
      <w:r>
        <w:rPr>
          <w:rFonts w:hint="eastAsia"/>
        </w:rPr>
        <w:t>NY/T 1764 农产品质量安全追溯操作规程</w:t>
      </w:r>
      <w:r>
        <w:rPr>
          <w:rFonts w:hint="eastAsia"/>
          <w:lang w:val="en-US" w:eastAsia="zh-CN"/>
        </w:rPr>
        <w:t xml:space="preserve"> </w:t>
      </w:r>
      <w:r>
        <w:rPr>
          <w:rFonts w:hint="eastAsia"/>
        </w:rPr>
        <w:t>畜肉</w:t>
      </w:r>
    </w:p>
    <w:p>
      <w:pPr>
        <w:pStyle w:val="9"/>
        <w:rPr>
          <w:rFonts w:hint="eastAsia"/>
        </w:rPr>
      </w:pPr>
      <w:r>
        <w:rPr>
          <w:rFonts w:hint="eastAsia"/>
        </w:rPr>
        <w:t>中华人民共和国农业部令2006年第67号《畜禽标识和养殖档案管理办法》</w:t>
      </w:r>
    </w:p>
    <w:p>
      <w:pPr>
        <w:pStyle w:val="22"/>
        <w:rPr>
          <w:rFonts w:hint="eastAsia"/>
        </w:rPr>
      </w:pPr>
      <w:r>
        <w:rPr>
          <w:rFonts w:hint="eastAsia"/>
        </w:rPr>
        <w:t>术语和定义</w:t>
      </w:r>
    </w:p>
    <w:p>
      <w:pPr>
        <w:pStyle w:val="9"/>
        <w:rPr>
          <w:rFonts w:hint="eastAsia"/>
        </w:rPr>
      </w:pPr>
      <w:r>
        <w:rPr>
          <w:rFonts w:hint="eastAsia"/>
        </w:rPr>
        <w:t>下列术语和定义适用于本</w:t>
      </w:r>
      <w:r>
        <w:rPr>
          <w:rFonts w:hint="eastAsia"/>
          <w:lang w:eastAsia="zh-CN"/>
        </w:rPr>
        <w:t>标准</w:t>
      </w:r>
      <w:r>
        <w:rPr>
          <w:rFonts w:hint="eastAsia"/>
        </w:rPr>
        <w:t>。</w:t>
      </w:r>
    </w:p>
    <w:p>
      <w:pPr>
        <w:pStyle w:val="23"/>
        <w:ind w:left="-2" w:leftChars="-1"/>
        <w:rPr>
          <w:rFonts w:hint="eastAsia"/>
        </w:rPr>
      </w:pPr>
      <w:r>
        <w:rPr>
          <w:rFonts w:hint="eastAsia"/>
        </w:rPr>
        <w:t>个体</w:t>
      </w:r>
    </w:p>
    <w:p>
      <w:pPr>
        <w:pStyle w:val="9"/>
        <w:rPr>
          <w:rFonts w:hint="eastAsia"/>
        </w:rPr>
      </w:pPr>
      <w:r>
        <w:rPr>
          <w:rFonts w:hint="eastAsia"/>
        </w:rPr>
        <w:t>符合地理标志农产品哈密羊肉原料要求的未经屠宰加工的活体羊。</w:t>
      </w:r>
    </w:p>
    <w:p>
      <w:pPr>
        <w:pStyle w:val="23"/>
        <w:ind w:left="-2" w:leftChars="-1"/>
        <w:rPr>
          <w:rFonts w:hint="eastAsia"/>
        </w:rPr>
      </w:pPr>
      <w:r>
        <w:rPr>
          <w:rFonts w:hint="eastAsia"/>
        </w:rPr>
        <w:t>哈密羊肉产品</w:t>
      </w:r>
    </w:p>
    <w:p>
      <w:pPr>
        <w:pStyle w:val="9"/>
        <w:rPr>
          <w:rFonts w:hint="eastAsia"/>
        </w:rPr>
      </w:pPr>
      <w:r>
        <w:rPr>
          <w:rFonts w:hint="eastAsia"/>
        </w:rPr>
        <w:t>屠宰、加工后的哈密羊肉产品。</w:t>
      </w:r>
    </w:p>
    <w:p>
      <w:pPr>
        <w:pStyle w:val="23"/>
        <w:ind w:left="-2" w:leftChars="-1"/>
        <w:rPr>
          <w:rFonts w:hint="eastAsia"/>
        </w:rPr>
      </w:pPr>
      <w:r>
        <w:rPr>
          <w:rFonts w:hint="eastAsia"/>
        </w:rPr>
        <w:t>管理部门</w:t>
      </w:r>
    </w:p>
    <w:p>
      <w:pPr>
        <w:pStyle w:val="9"/>
        <w:rPr>
          <w:rFonts w:hint="eastAsia"/>
        </w:rPr>
      </w:pPr>
      <w:r>
        <w:rPr>
          <w:rFonts w:hint="eastAsia"/>
        </w:rPr>
        <w:t>开发、运行、维护、监督哈密羊肉质量安全追溯体系的部门。</w:t>
      </w:r>
    </w:p>
    <w:p>
      <w:pPr>
        <w:pStyle w:val="23"/>
        <w:ind w:left="-2" w:leftChars="-1"/>
        <w:rPr>
          <w:rFonts w:hint="eastAsia"/>
        </w:rPr>
      </w:pPr>
      <w:r>
        <w:rPr>
          <w:rFonts w:hint="eastAsia"/>
        </w:rPr>
        <w:t>使用单位</w:t>
      </w:r>
    </w:p>
    <w:p>
      <w:pPr>
        <w:pStyle w:val="9"/>
        <w:rPr>
          <w:rFonts w:hint="eastAsia"/>
        </w:rPr>
      </w:pPr>
      <w:r>
        <w:rPr>
          <w:rFonts w:hint="eastAsia"/>
        </w:rPr>
        <w:t>使用哈密羊肉质量安全追溯体系的企业或组织。</w:t>
      </w:r>
    </w:p>
    <w:p>
      <w:pPr>
        <w:pStyle w:val="23"/>
        <w:ind w:left="-2" w:leftChars="-1"/>
        <w:rPr>
          <w:rFonts w:hint="eastAsia"/>
        </w:rPr>
      </w:pPr>
      <w:r>
        <w:rPr>
          <w:rFonts w:hint="eastAsia"/>
        </w:rPr>
        <w:t>追溯单元</w:t>
      </w:r>
    </w:p>
    <w:p>
      <w:pPr>
        <w:pStyle w:val="9"/>
        <w:rPr>
          <w:rFonts w:hint="eastAsia"/>
        </w:rPr>
      </w:pPr>
      <w:r>
        <w:rPr>
          <w:rFonts w:hint="eastAsia"/>
        </w:rPr>
        <w:t>哈密羊肉产品肉羊养殖、屠宰加工、产品销售</w:t>
      </w:r>
      <w:r>
        <w:rPr>
          <w:rFonts w:hint="eastAsia"/>
          <w:color w:val="000000"/>
        </w:rPr>
        <w:t>环节</w:t>
      </w:r>
      <w:r>
        <w:rPr>
          <w:rFonts w:hint="eastAsia"/>
        </w:rPr>
        <w:t>不再细分的管理对象。</w:t>
      </w:r>
    </w:p>
    <w:p>
      <w:pPr>
        <w:pStyle w:val="23"/>
        <w:ind w:left="-2" w:leftChars="-1"/>
        <w:rPr>
          <w:rFonts w:hint="eastAsia"/>
        </w:rPr>
      </w:pPr>
      <w:r>
        <w:rPr>
          <w:rFonts w:hint="eastAsia"/>
        </w:rPr>
        <w:t>追溯码</w:t>
      </w:r>
    </w:p>
    <w:p>
      <w:pPr>
        <w:pStyle w:val="9"/>
      </w:pPr>
      <w:r>
        <w:rPr>
          <w:rFonts w:hint="eastAsia"/>
        </w:rPr>
        <w:t>对追溯单元进行标识的唯一代码。</w:t>
      </w:r>
    </w:p>
    <w:p>
      <w:pPr>
        <w:pStyle w:val="23"/>
        <w:ind w:left="-2" w:leftChars="-1"/>
        <w:rPr>
          <w:rFonts w:hint="eastAsia"/>
        </w:rPr>
      </w:pPr>
      <w:r>
        <w:rPr>
          <w:rFonts w:hint="eastAsia"/>
        </w:rPr>
        <w:t>追溯标识</w:t>
      </w:r>
    </w:p>
    <w:p>
      <w:pPr>
        <w:pStyle w:val="9"/>
        <w:rPr>
          <w:rFonts w:hint="eastAsia"/>
        </w:rPr>
      </w:pPr>
      <w:r>
        <w:rPr>
          <w:rFonts w:hint="eastAsia"/>
        </w:rPr>
        <w:t>承载哈密羊肉产品肉羊养殖、屠宰加工、产品销售信息的二维码标签。</w:t>
      </w:r>
    </w:p>
    <w:p>
      <w:pPr>
        <w:pStyle w:val="23"/>
        <w:ind w:left="-2" w:leftChars="-1"/>
        <w:rPr>
          <w:rFonts w:hint="eastAsia"/>
        </w:rPr>
      </w:pPr>
      <w:r>
        <w:rPr>
          <w:rFonts w:hint="eastAsia"/>
        </w:rPr>
        <w:t>单位账号</w:t>
      </w:r>
    </w:p>
    <w:p>
      <w:pPr>
        <w:pStyle w:val="23"/>
        <w:numPr>
          <w:ilvl w:val="0"/>
          <w:numId w:val="0"/>
        </w:numPr>
        <w:ind w:left="-2" w:leftChars="-1" w:firstLine="420" w:firstLineChars="200"/>
      </w:pPr>
      <w:r>
        <w:rPr>
          <w:rFonts w:hint="eastAsia" w:ascii="宋体" w:eastAsia="宋体"/>
        </w:rPr>
        <w:t>管理部门核发于使用单位，用于登录哈密羊肉产品质量安全追溯体系的号码。</w:t>
      </w:r>
    </w:p>
    <w:p>
      <w:pPr>
        <w:pStyle w:val="23"/>
        <w:ind w:left="-2" w:leftChars="-1"/>
        <w:rPr>
          <w:rFonts w:hint="eastAsia"/>
          <w:color w:val="000000"/>
        </w:rPr>
      </w:pPr>
      <w:r>
        <w:rPr>
          <w:rFonts w:hint="eastAsia"/>
          <w:color w:val="000000"/>
        </w:rPr>
        <w:t>追溯主号</w:t>
      </w:r>
    </w:p>
    <w:p>
      <w:pPr>
        <w:pStyle w:val="9"/>
        <w:rPr>
          <w:rFonts w:hint="eastAsia"/>
        </w:rPr>
      </w:pPr>
      <w:r>
        <w:rPr>
          <w:rFonts w:hint="eastAsia"/>
        </w:rPr>
        <w:t>个体对应的唯一编号，一个主号对应多个子号。</w:t>
      </w:r>
    </w:p>
    <w:p>
      <w:pPr>
        <w:pStyle w:val="23"/>
        <w:ind w:left="-2" w:leftChars="-1"/>
        <w:rPr>
          <w:rFonts w:hint="eastAsia"/>
          <w:color w:val="000000"/>
        </w:rPr>
      </w:pPr>
      <w:r>
        <w:rPr>
          <w:rFonts w:hint="eastAsia"/>
          <w:color w:val="000000"/>
        </w:rPr>
        <w:t>追溯子号</w:t>
      </w:r>
    </w:p>
    <w:p>
      <w:pPr>
        <w:pStyle w:val="23"/>
        <w:numPr>
          <w:ilvl w:val="0"/>
          <w:numId w:val="0"/>
        </w:numPr>
        <w:ind w:firstLine="420" w:firstLineChars="200"/>
        <w:rPr>
          <w:rFonts w:ascii="宋体" w:eastAsia="宋体"/>
          <w:color w:val="000000"/>
          <w:szCs w:val="22"/>
        </w:rPr>
      </w:pPr>
      <w:r>
        <w:rPr>
          <w:rFonts w:hint="eastAsia" w:ascii="宋体" w:eastAsia="宋体"/>
          <w:color w:val="000000"/>
          <w:szCs w:val="22"/>
        </w:rPr>
        <w:t>哈密羊肉产品的编号。</w:t>
      </w:r>
    </w:p>
    <w:p>
      <w:pPr>
        <w:pStyle w:val="23"/>
        <w:ind w:left="-2" w:leftChars="-1"/>
        <w:rPr>
          <w:rFonts w:hint="eastAsia"/>
        </w:rPr>
      </w:pPr>
      <w:r>
        <w:rPr>
          <w:rFonts w:hint="eastAsia"/>
        </w:rPr>
        <w:t>追溯信息</w:t>
      </w:r>
    </w:p>
    <w:p>
      <w:pPr>
        <w:pStyle w:val="9"/>
        <w:rPr>
          <w:rFonts w:hint="eastAsia"/>
        </w:rPr>
      </w:pPr>
      <w:r>
        <w:rPr>
          <w:rFonts w:hint="eastAsia"/>
        </w:rPr>
        <w:t>哈密羊肉产品肉羊养殖、屠宰加工、产品销售环节信息的总和。</w:t>
      </w:r>
    </w:p>
    <w:p>
      <w:pPr>
        <w:pStyle w:val="23"/>
        <w:ind w:left="-2" w:leftChars="-1"/>
        <w:rPr>
          <w:rFonts w:hint="eastAsia"/>
        </w:rPr>
      </w:pPr>
      <w:r>
        <w:rPr>
          <w:rFonts w:hint="eastAsia"/>
        </w:rPr>
        <w:t>追溯深度</w:t>
      </w:r>
    </w:p>
    <w:p>
      <w:pPr>
        <w:pStyle w:val="9"/>
        <w:rPr>
          <w:rFonts w:hint="eastAsia"/>
        </w:rPr>
      </w:pPr>
      <w:r>
        <w:rPr>
          <w:rFonts w:hint="eastAsia"/>
        </w:rPr>
        <w:t>哈密羊肉产品质量追溯中可追溯到的产业链的最初环节。</w:t>
      </w:r>
    </w:p>
    <w:p>
      <w:pPr>
        <w:pStyle w:val="22"/>
        <w:rPr>
          <w:rFonts w:hint="eastAsia"/>
        </w:rPr>
      </w:pPr>
      <w:r>
        <w:rPr>
          <w:rFonts w:hint="eastAsia"/>
        </w:rPr>
        <w:t>实施原则与要求</w:t>
      </w:r>
    </w:p>
    <w:p>
      <w:pPr>
        <w:pStyle w:val="23"/>
        <w:ind w:left="-2" w:leftChars="-1"/>
        <w:rPr>
          <w:rFonts w:hint="eastAsia"/>
        </w:rPr>
      </w:pPr>
      <w:r>
        <w:rPr>
          <w:rFonts w:hint="eastAsia"/>
        </w:rPr>
        <w:t>实施原则</w:t>
      </w:r>
    </w:p>
    <w:p>
      <w:pPr>
        <w:pStyle w:val="24"/>
        <w:spacing w:before="156" w:after="156"/>
        <w:ind w:left="-9" w:leftChars="-5" w:hanging="1"/>
        <w:rPr>
          <w:rFonts w:hint="eastAsia"/>
        </w:rPr>
      </w:pPr>
      <w:r>
        <w:rPr>
          <w:rFonts w:hint="eastAsia"/>
        </w:rPr>
        <w:t xml:space="preserve">合法性原则 </w:t>
      </w:r>
    </w:p>
    <w:p>
      <w:pPr>
        <w:pStyle w:val="9"/>
        <w:rPr>
          <w:rFonts w:hint="eastAsia"/>
        </w:rPr>
      </w:pPr>
      <w:r>
        <w:rPr>
          <w:rFonts w:hint="eastAsia"/>
        </w:rPr>
        <w:t>遵循国家法律、法规和NY/T 1761</w:t>
      </w:r>
      <w:r>
        <w:rPr>
          <w:rFonts w:hint="eastAsia"/>
          <w:lang w:eastAsia="zh-CN"/>
        </w:rPr>
        <w:t>、</w:t>
      </w:r>
      <w:r>
        <w:rPr>
          <w:rFonts w:hint="eastAsia"/>
          <w:color w:val="auto"/>
        </w:rPr>
        <w:t>NY/T 176</w:t>
      </w:r>
      <w:r>
        <w:rPr>
          <w:rFonts w:hint="eastAsia"/>
          <w:color w:val="auto"/>
          <w:lang w:val="en-US" w:eastAsia="zh-CN"/>
        </w:rPr>
        <w:t>4</w:t>
      </w:r>
      <w:r>
        <w:rPr>
          <w:rFonts w:hint="eastAsia"/>
          <w:lang w:val="en-US" w:eastAsia="zh-CN"/>
        </w:rPr>
        <w:t>的</w:t>
      </w:r>
      <w:r>
        <w:rPr>
          <w:rFonts w:hint="eastAsia"/>
        </w:rPr>
        <w:t>要求。</w:t>
      </w:r>
    </w:p>
    <w:p>
      <w:pPr>
        <w:pStyle w:val="24"/>
        <w:spacing w:before="156" w:after="156"/>
        <w:ind w:left="-9" w:leftChars="-5" w:hanging="1"/>
        <w:rPr>
          <w:rFonts w:hint="eastAsia"/>
        </w:rPr>
      </w:pPr>
      <w:r>
        <w:rPr>
          <w:rFonts w:hint="eastAsia"/>
        </w:rPr>
        <w:t>完整性原则</w:t>
      </w:r>
    </w:p>
    <w:p>
      <w:pPr>
        <w:pStyle w:val="9"/>
        <w:rPr>
          <w:rFonts w:hint="eastAsia"/>
        </w:rPr>
      </w:pPr>
      <w:r>
        <w:rPr>
          <w:rFonts w:hint="eastAsia"/>
        </w:rPr>
        <w:t>追溯信息应覆盖哈密羊肉产品肉羊养殖、屠宰加工、产品销售全过程；信息内容应覆盖各环节操作时间、地点、责任主体、产品批次、质量安全等相关内容。</w:t>
      </w:r>
    </w:p>
    <w:p>
      <w:pPr>
        <w:pStyle w:val="24"/>
        <w:spacing w:before="156" w:after="156"/>
        <w:ind w:left="-9" w:leftChars="-5" w:hanging="1"/>
        <w:rPr>
          <w:rFonts w:hint="eastAsia"/>
        </w:rPr>
      </w:pPr>
      <w:r>
        <w:rPr>
          <w:rFonts w:hint="eastAsia"/>
        </w:rPr>
        <w:t>对应性原则</w:t>
      </w:r>
    </w:p>
    <w:p>
      <w:pPr>
        <w:pStyle w:val="9"/>
        <w:rPr>
          <w:rFonts w:hint="eastAsia"/>
        </w:rPr>
      </w:pPr>
      <w:r>
        <w:rPr>
          <w:rFonts w:hint="eastAsia"/>
        </w:rPr>
        <w:t>应对哈密羊肉产品质量追溯过程中肉羊养殖、屠宰加工、产品销售各环节进行代码化管理，确保哈密羊肉产品质量追溯信息与产品的唯一对应。</w:t>
      </w:r>
    </w:p>
    <w:p>
      <w:pPr>
        <w:pStyle w:val="24"/>
        <w:spacing w:before="156" w:after="156"/>
        <w:ind w:left="-9" w:leftChars="-5" w:hanging="1"/>
        <w:rPr>
          <w:rFonts w:hint="eastAsia"/>
        </w:rPr>
      </w:pPr>
      <w:r>
        <w:rPr>
          <w:rFonts w:hint="eastAsia"/>
        </w:rPr>
        <w:t>高效性原则</w:t>
      </w:r>
    </w:p>
    <w:p>
      <w:pPr>
        <w:pStyle w:val="9"/>
        <w:rPr>
          <w:rFonts w:hint="eastAsia"/>
        </w:rPr>
      </w:pPr>
      <w:r>
        <w:rPr>
          <w:rFonts w:hint="eastAsia"/>
        </w:rPr>
        <w:t>应充分运用网络技术、通讯技术、条码技术、射频技术等，高效、精准、快捷地对哈密羊肉产品质量实施追溯。</w:t>
      </w:r>
    </w:p>
    <w:p>
      <w:pPr>
        <w:pStyle w:val="23"/>
        <w:ind w:left="-2" w:leftChars="-1"/>
        <w:rPr>
          <w:rFonts w:hint="eastAsia"/>
        </w:rPr>
      </w:pPr>
      <w:r>
        <w:rPr>
          <w:rFonts w:hint="eastAsia"/>
        </w:rPr>
        <w:t>实施要求</w:t>
      </w:r>
    </w:p>
    <w:p>
      <w:pPr>
        <w:pStyle w:val="24"/>
        <w:spacing w:before="156" w:after="156"/>
        <w:ind w:left="-9" w:leftChars="-5" w:hanging="1"/>
        <w:rPr>
          <w:rFonts w:hint="eastAsia"/>
          <w:color w:val="000000"/>
        </w:rPr>
      </w:pPr>
      <w:r>
        <w:rPr>
          <w:rFonts w:hint="eastAsia"/>
        </w:rPr>
        <w:t>追溯目标</w:t>
      </w:r>
    </w:p>
    <w:p>
      <w:pPr>
        <w:pStyle w:val="9"/>
        <w:rPr>
          <w:rFonts w:hint="eastAsia"/>
          <w:color w:val="000000"/>
        </w:rPr>
      </w:pPr>
      <w:r>
        <w:rPr>
          <w:rFonts w:hint="eastAsia"/>
          <w:color w:val="000000"/>
          <w:lang w:eastAsia="zh-CN"/>
        </w:rPr>
        <w:t>依照</w:t>
      </w:r>
      <w:r>
        <w:rPr>
          <w:rFonts w:hint="eastAsia"/>
          <w:color w:val="000000"/>
          <w:lang w:val="en-US" w:eastAsia="zh-CN"/>
        </w:rPr>
        <w:t>NY/T 1764要求，</w:t>
      </w:r>
      <w:r>
        <w:rPr>
          <w:rFonts w:hint="eastAsia"/>
          <w:color w:val="000000"/>
        </w:rPr>
        <w:t>哈密羊肉产品</w:t>
      </w:r>
      <w:r>
        <w:rPr>
          <w:rFonts w:hint="eastAsia"/>
          <w:color w:val="000000"/>
          <w:lang w:eastAsia="zh-CN"/>
        </w:rPr>
        <w:t>追溯码</w:t>
      </w:r>
      <w:r>
        <w:rPr>
          <w:rFonts w:hint="eastAsia"/>
          <w:color w:val="000000"/>
        </w:rPr>
        <w:t>可追溯到肉羊养殖、屠宰加工、产品销售环节的责任主体。</w:t>
      </w:r>
    </w:p>
    <w:p>
      <w:pPr>
        <w:pStyle w:val="24"/>
        <w:spacing w:before="156" w:after="156"/>
        <w:ind w:left="-9" w:leftChars="-5" w:hanging="1"/>
        <w:rPr>
          <w:rFonts w:hint="eastAsia"/>
        </w:rPr>
      </w:pPr>
      <w:r>
        <w:rPr>
          <w:rFonts w:hint="eastAsia"/>
        </w:rPr>
        <w:t>管理制度</w:t>
      </w:r>
    </w:p>
    <w:p>
      <w:pPr>
        <w:pStyle w:val="9"/>
        <w:rPr>
          <w:rFonts w:hint="eastAsia"/>
        </w:rPr>
      </w:pPr>
      <w:r>
        <w:rPr>
          <w:rFonts w:hint="eastAsia"/>
        </w:rPr>
        <w:t>追溯的哈密羊肉产品肉羊养殖、屠宰加工、产品销售各责任主体应有完善的产品质量安全追溯规范、工作规范、信息采集规范、信息系统维护和管理规范、质量安全问题处置规范、产品质量控制方案、质量追溯产品应急预案，明确各责任主体的责任、义务，并组织实施。</w:t>
      </w:r>
    </w:p>
    <w:p>
      <w:pPr>
        <w:pStyle w:val="24"/>
        <w:spacing w:before="156" w:after="156"/>
        <w:ind w:left="-9" w:leftChars="-5" w:hanging="1"/>
        <w:rPr>
          <w:rFonts w:hint="eastAsia"/>
        </w:rPr>
      </w:pPr>
      <w:r>
        <w:rPr>
          <w:rFonts w:hint="eastAsia"/>
        </w:rPr>
        <w:t>设备和软件</w:t>
      </w:r>
    </w:p>
    <w:p>
      <w:pPr>
        <w:pStyle w:val="9"/>
        <w:rPr>
          <w:rFonts w:hint="eastAsia"/>
        </w:rPr>
      </w:pPr>
      <w:r>
        <w:rPr>
          <w:rFonts w:hint="eastAsia"/>
        </w:rPr>
        <w:t>追溯的哈密羊肉产品肉羊养殖、屠宰加工、产品销售各责任主体应配置必要的计算机、网络设备、标签打印设备、条码读写设备等，并配备相应的电子标签耳标、二维码耳标、二维码标签纸等相关耗材，相关软件应满足追溯要求，软件类型至少包括网页应用和移动终端（APP）应用两种，还可安装窗口应用程序。</w:t>
      </w:r>
    </w:p>
    <w:p>
      <w:pPr>
        <w:pStyle w:val="24"/>
        <w:spacing w:before="156" w:after="156"/>
        <w:ind w:left="-9" w:leftChars="-5" w:hanging="1"/>
        <w:rPr>
          <w:rFonts w:hint="eastAsia"/>
        </w:rPr>
      </w:pPr>
      <w:r>
        <w:rPr>
          <w:rFonts w:hint="eastAsia"/>
        </w:rPr>
        <w:t>机构和人员</w:t>
      </w:r>
    </w:p>
    <w:p>
      <w:pPr>
        <w:pStyle w:val="9"/>
        <w:rPr>
          <w:rFonts w:hint="eastAsia"/>
        </w:rPr>
      </w:pPr>
      <w:r>
        <w:rPr>
          <w:rFonts w:hint="eastAsia"/>
        </w:rPr>
        <w:t>由哈密羊肉产品肉羊养殖、屠宰加工、产品销售各责任主体指定部门或人员负责哈密羊肉产品质量追溯系统各环节的组织、实施与监控，承担信息的采集、核实、上报、发布等工作。</w:t>
      </w:r>
    </w:p>
    <w:p>
      <w:pPr>
        <w:pStyle w:val="22"/>
        <w:rPr>
          <w:rFonts w:hint="eastAsia"/>
        </w:rPr>
      </w:pPr>
      <w:r>
        <w:rPr>
          <w:rFonts w:hint="eastAsia"/>
        </w:rPr>
        <w:t>体系实施</w:t>
      </w:r>
    </w:p>
    <w:p>
      <w:pPr>
        <w:pStyle w:val="23"/>
        <w:ind w:left="-2" w:leftChars="-1"/>
        <w:rPr>
          <w:rFonts w:hint="eastAsia"/>
        </w:rPr>
      </w:pPr>
      <w:r>
        <w:rPr>
          <w:rFonts w:hint="eastAsia"/>
        </w:rPr>
        <w:t>追溯标识</w:t>
      </w:r>
    </w:p>
    <w:p>
      <w:pPr>
        <w:pStyle w:val="24"/>
        <w:spacing w:before="156" w:after="156"/>
        <w:ind w:left="-9" w:leftChars="-5" w:hanging="1"/>
        <w:rPr>
          <w:rFonts w:hint="eastAsia" w:ascii="宋体" w:eastAsia="宋体"/>
          <w:szCs w:val="20"/>
        </w:rPr>
      </w:pPr>
      <w:r>
        <w:rPr>
          <w:rFonts w:hint="eastAsia" w:ascii="宋体" w:eastAsia="宋体"/>
          <w:szCs w:val="20"/>
        </w:rPr>
        <w:t>追溯标识编制按NY/T 1761、农业部67号令《畜禽标识和养殖档案管理办法》的规定执行。</w:t>
      </w:r>
    </w:p>
    <w:p>
      <w:pPr>
        <w:pStyle w:val="24"/>
        <w:spacing w:before="156" w:after="156"/>
        <w:ind w:left="-9" w:leftChars="-5" w:hanging="1"/>
        <w:rPr>
          <w:rFonts w:hint="eastAsia" w:ascii="宋体" w:eastAsia="宋体"/>
          <w:szCs w:val="20"/>
        </w:rPr>
      </w:pPr>
      <w:r>
        <w:rPr>
          <w:rFonts w:hint="eastAsia" w:ascii="宋体" w:eastAsia="宋体"/>
          <w:szCs w:val="20"/>
        </w:rPr>
        <w:t>个体经过养殖、屠宰加工、包装后形成哈密羊肉最终产品时，应同时形成质量追溯标识即产品二维码。</w:t>
      </w:r>
    </w:p>
    <w:p>
      <w:pPr>
        <w:pStyle w:val="24"/>
        <w:spacing w:before="156" w:after="156"/>
        <w:ind w:left="-9" w:leftChars="-5" w:hanging="1"/>
        <w:rPr>
          <w:rFonts w:hint="eastAsia" w:ascii="宋体" w:eastAsia="宋体"/>
          <w:szCs w:val="20"/>
        </w:rPr>
      </w:pPr>
      <w:r>
        <w:rPr>
          <w:rFonts w:hint="eastAsia" w:ascii="宋体" w:eastAsia="宋体"/>
          <w:szCs w:val="20"/>
        </w:rPr>
        <w:t>追溯标识承载哈密羊肉产品肉羊养殖、屠宰加工、产品销售等质量安全可追溯信息。</w:t>
      </w:r>
    </w:p>
    <w:p>
      <w:pPr>
        <w:pStyle w:val="24"/>
        <w:spacing w:before="156" w:after="156"/>
        <w:ind w:left="-9" w:leftChars="-5" w:hanging="1"/>
        <w:rPr>
          <w:rFonts w:hint="eastAsia" w:ascii="宋体" w:eastAsia="宋体"/>
          <w:szCs w:val="20"/>
        </w:rPr>
      </w:pPr>
      <w:r>
        <w:rPr>
          <w:rFonts w:hint="eastAsia" w:ascii="宋体" w:eastAsia="宋体"/>
          <w:szCs w:val="20"/>
        </w:rPr>
        <w:t>追溯标识内容应包括哈密羊肉产品追溯码、信息查询渠道、追溯标志。</w:t>
      </w:r>
    </w:p>
    <w:p>
      <w:pPr>
        <w:pStyle w:val="24"/>
        <w:spacing w:before="156" w:after="156"/>
        <w:ind w:left="-9" w:leftChars="-5" w:hanging="1"/>
        <w:rPr>
          <w:rFonts w:hint="eastAsia" w:ascii="宋体" w:eastAsia="宋体"/>
          <w:szCs w:val="20"/>
        </w:rPr>
      </w:pPr>
      <w:r>
        <w:rPr>
          <w:rFonts w:hint="eastAsia" w:ascii="宋体" w:eastAsia="宋体"/>
          <w:szCs w:val="20"/>
        </w:rPr>
        <w:t>追溯标识载体根据包装特点采用不干胶纸制标签、锁扣标签、捆扎带标签等形式，标签规格大小由生产加工者自行决定。</w:t>
      </w:r>
    </w:p>
    <w:p>
      <w:pPr>
        <w:pStyle w:val="23"/>
        <w:ind w:left="-2" w:leftChars="-1"/>
        <w:rPr>
          <w:rFonts w:hint="eastAsia"/>
        </w:rPr>
      </w:pPr>
      <w:r>
        <w:rPr>
          <w:rFonts w:hint="eastAsia"/>
        </w:rPr>
        <w:t>追溯流程</w:t>
      </w:r>
    </w:p>
    <w:p>
      <w:pPr>
        <w:pStyle w:val="24"/>
        <w:spacing w:before="156" w:after="156"/>
        <w:ind w:left="-9" w:leftChars="-5" w:hanging="1"/>
      </w:pPr>
      <w:r>
        <w:rPr>
          <w:rFonts w:hint="eastAsia"/>
        </w:rPr>
        <w:t>申领追溯账号</w:t>
      </w:r>
    </w:p>
    <w:p>
      <w:pPr>
        <w:pStyle w:val="9"/>
        <w:rPr>
          <w:rFonts w:hint="eastAsia"/>
          <w:color w:val="000000"/>
        </w:rPr>
      </w:pPr>
      <w:r>
        <w:rPr>
          <w:rFonts w:hint="eastAsia"/>
          <w:color w:val="000000"/>
        </w:rPr>
        <w:t>由使用单位向管理部</w:t>
      </w:r>
      <w:r>
        <w:rPr>
          <w:rFonts w:hint="eastAsia"/>
          <w:color w:val="000000"/>
          <w:szCs w:val="22"/>
        </w:rPr>
        <w:t>门申请</w:t>
      </w:r>
      <w:r>
        <w:rPr>
          <w:rFonts w:hint="eastAsia"/>
          <w:color w:val="000000"/>
        </w:rPr>
        <w:t>追溯账号。申请时须提供单位详细信息，包括单位名称、地址、类型等，管理部门审核通过后派发账号。</w:t>
      </w:r>
    </w:p>
    <w:p>
      <w:pPr>
        <w:pStyle w:val="24"/>
        <w:spacing w:before="156" w:after="156"/>
        <w:ind w:left="-9" w:leftChars="-5" w:hanging="1"/>
        <w:rPr>
          <w:rFonts w:hint="eastAsia"/>
        </w:rPr>
      </w:pPr>
      <w:r>
        <w:rPr>
          <w:rFonts w:hint="eastAsia"/>
        </w:rPr>
        <w:t>信息采集及录入</w:t>
      </w:r>
    </w:p>
    <w:p>
      <w:pPr>
        <w:pStyle w:val="9"/>
        <w:rPr>
          <w:rFonts w:hint="eastAsia"/>
        </w:rPr>
      </w:pPr>
      <w:r>
        <w:rPr>
          <w:rFonts w:hint="eastAsia"/>
          <w:lang w:eastAsia="zh-CN"/>
        </w:rPr>
        <w:t>依照</w:t>
      </w:r>
      <w:r>
        <w:rPr>
          <w:rFonts w:hint="eastAsia"/>
          <w:lang w:val="en-US" w:eastAsia="zh-CN"/>
        </w:rPr>
        <w:t>NY/T 1764要求，</w:t>
      </w:r>
      <w:r>
        <w:rPr>
          <w:rFonts w:hint="eastAsia"/>
        </w:rPr>
        <w:t>由哈密羊肉产品肉羊养殖、屠宰加工、产品销售各责任主体采集并录入哈密羊肉产品的肉羊养殖、屠宰加工、产品销售等信息。</w:t>
      </w:r>
    </w:p>
    <w:p>
      <w:pPr>
        <w:pStyle w:val="24"/>
        <w:spacing w:before="156" w:after="156"/>
        <w:ind w:left="-9" w:leftChars="-5" w:hanging="1"/>
        <w:rPr>
          <w:rFonts w:hint="eastAsia"/>
        </w:rPr>
      </w:pPr>
      <w:r>
        <w:rPr>
          <w:rFonts w:hint="eastAsia"/>
        </w:rPr>
        <w:t>信息传输</w:t>
      </w:r>
    </w:p>
    <w:p>
      <w:pPr>
        <w:pStyle w:val="9"/>
        <w:rPr>
          <w:rFonts w:hint="eastAsia"/>
        </w:rPr>
      </w:pPr>
      <w:r>
        <w:rPr>
          <w:rFonts w:hint="eastAsia"/>
        </w:rPr>
        <w:t>信息录入后，应及时上传至质量追溯系统。系统支持离线状态下将采集信息保存本地，在线时自动上传追溯信息。</w:t>
      </w:r>
    </w:p>
    <w:p>
      <w:pPr>
        <w:pStyle w:val="24"/>
        <w:spacing w:before="156" w:after="156"/>
        <w:ind w:left="-9" w:leftChars="-5" w:hanging="1"/>
        <w:rPr>
          <w:rFonts w:hint="eastAsia"/>
        </w:rPr>
      </w:pPr>
      <w:r>
        <w:rPr>
          <w:rFonts w:hint="eastAsia"/>
        </w:rPr>
        <w:t>产品二维码</w:t>
      </w:r>
    </w:p>
    <w:p>
      <w:pPr>
        <w:pStyle w:val="9"/>
      </w:pPr>
      <w:r>
        <w:rPr>
          <w:rFonts w:hint="eastAsia"/>
        </w:rPr>
        <w:t>哈密羊肉产品肉羊养殖、屠宰加工、产品销售各环节追溯信息上传后，会生成一个相应的二维码，此二维码即为产品的唯一标识码。</w:t>
      </w:r>
    </w:p>
    <w:p>
      <w:pPr>
        <w:pStyle w:val="24"/>
        <w:spacing w:before="156" w:after="156"/>
        <w:ind w:left="-9" w:leftChars="-5" w:hanging="1"/>
        <w:rPr>
          <w:rFonts w:hint="eastAsia"/>
        </w:rPr>
      </w:pPr>
      <w:r>
        <w:rPr>
          <w:rFonts w:hint="eastAsia"/>
        </w:rPr>
        <w:t>信息储存</w:t>
      </w:r>
    </w:p>
    <w:p>
      <w:pPr>
        <w:pStyle w:val="9"/>
      </w:pPr>
      <w:r>
        <w:rPr>
          <w:rFonts w:hint="eastAsia"/>
        </w:rPr>
        <w:t>应由行业主管部门负责监督管理，确保体系各使用单位纸质记录及时归档，电子记录及时备份。所有追溯信息档案应保存2年以上。体系各使用单位要妥善保存，不得随意修改、删除追溯信息。</w:t>
      </w:r>
    </w:p>
    <w:p>
      <w:pPr>
        <w:pStyle w:val="24"/>
        <w:spacing w:before="156" w:after="156"/>
        <w:ind w:left="-9" w:leftChars="-5" w:hanging="1"/>
        <w:rPr>
          <w:rFonts w:hint="eastAsia"/>
        </w:rPr>
      </w:pPr>
      <w:r>
        <w:rPr>
          <w:rFonts w:hint="eastAsia"/>
        </w:rPr>
        <w:t>信息公开</w:t>
      </w:r>
    </w:p>
    <w:p>
      <w:pPr>
        <w:pStyle w:val="9"/>
        <w:rPr>
          <w:rFonts w:hint="eastAsia"/>
        </w:rPr>
      </w:pPr>
      <w:r>
        <w:rPr>
          <w:rFonts w:hint="eastAsia"/>
        </w:rPr>
        <w:t>哈密羊肉产品追溯体系内容应有产品名称、生产者、投入品、防疫检疫、质量检验结果等关键控制点信息，并通过网页、产品二维码等形式向社会公开产品质量安全信息。</w:t>
      </w:r>
    </w:p>
    <w:p>
      <w:pPr>
        <w:pStyle w:val="24"/>
        <w:spacing w:before="156" w:after="156"/>
        <w:ind w:left="-9" w:leftChars="-5" w:hanging="1"/>
        <w:rPr>
          <w:rFonts w:hint="eastAsia"/>
        </w:rPr>
      </w:pPr>
      <w:r>
        <w:rPr>
          <w:rFonts w:hint="eastAsia"/>
        </w:rPr>
        <w:t>质量安全关键控制点</w:t>
      </w:r>
    </w:p>
    <w:p>
      <w:pPr>
        <w:pStyle w:val="25"/>
        <w:spacing w:before="156" w:after="156"/>
        <w:rPr>
          <w:rFonts w:hint="eastAsia" w:ascii="宋体" w:hAnsi="宋体" w:cs="黑体"/>
        </w:rPr>
      </w:pPr>
      <w:r>
        <w:rPr>
          <w:rFonts w:hint="eastAsia" w:ascii="宋体" w:hAnsi="宋体" w:cs="黑体"/>
        </w:rPr>
        <w:t>个体信息</w:t>
      </w:r>
    </w:p>
    <w:p>
      <w:pPr>
        <w:pStyle w:val="9"/>
        <w:ind w:firstLine="0" w:firstLineChars="0"/>
        <w:rPr>
          <w:rFonts w:hint="eastAsia"/>
        </w:rPr>
      </w:pPr>
      <w:r>
        <w:rPr>
          <w:rFonts w:hint="eastAsia"/>
        </w:rPr>
        <w:t xml:space="preserve">   个体须佩戴追溯主号，</w:t>
      </w:r>
      <w:r>
        <w:rPr>
          <w:rFonts w:hint="eastAsia"/>
          <w:color w:val="000000"/>
        </w:rPr>
        <w:t xml:space="preserve">养殖者根据追溯主号录入对应个体品种、年龄、出生日期、畜主等信息。     </w:t>
      </w:r>
    </w:p>
    <w:p>
      <w:pPr>
        <w:pStyle w:val="25"/>
        <w:spacing w:before="156" w:after="156"/>
        <w:rPr>
          <w:rFonts w:hint="eastAsia" w:ascii="黑体" w:hAnsi="黑体" w:eastAsia="黑体" w:cs="黑体"/>
        </w:rPr>
      </w:pPr>
      <w:r>
        <w:rPr>
          <w:rFonts w:hint="eastAsia" w:ascii="黑体" w:hAnsi="黑体" w:eastAsia="黑体" w:cs="黑体"/>
        </w:rPr>
        <w:t>投入品</w:t>
      </w:r>
    </w:p>
    <w:p>
      <w:pPr>
        <w:pStyle w:val="26"/>
        <w:bidi w:val="0"/>
        <w:rPr>
          <w:rFonts w:hint="eastAsia"/>
        </w:rPr>
      </w:pPr>
      <w:r>
        <w:rPr>
          <w:rFonts w:hint="eastAsia"/>
        </w:rPr>
        <w:t>5.2.7.2.1 饲料</w:t>
      </w:r>
    </w:p>
    <w:p>
      <w:pPr>
        <w:pStyle w:val="9"/>
        <w:rPr>
          <w:rFonts w:hint="eastAsia"/>
          <w:color w:val="000000"/>
        </w:rPr>
      </w:pPr>
      <w:r>
        <w:rPr>
          <w:rFonts w:hint="eastAsia"/>
          <w:color w:val="000000"/>
        </w:rPr>
        <w:t>养殖者通过追溯体系对应追溯主号录入对应个体饲养信息，包括饲料名称、养殖方式等信息。</w:t>
      </w:r>
    </w:p>
    <w:p>
      <w:pPr>
        <w:pStyle w:val="26"/>
        <w:bidi w:val="0"/>
        <w:rPr>
          <w:rFonts w:hint="eastAsia"/>
        </w:rPr>
      </w:pPr>
      <w:r>
        <w:rPr>
          <w:rFonts w:hint="eastAsia"/>
        </w:rPr>
        <w:t>5.2.7.2.2 兽药</w:t>
      </w:r>
    </w:p>
    <w:p>
      <w:pPr>
        <w:pStyle w:val="9"/>
        <w:rPr>
          <w:rFonts w:hint="eastAsia"/>
          <w:color w:val="000000"/>
        </w:rPr>
      </w:pPr>
      <w:r>
        <w:rPr>
          <w:rFonts w:hint="eastAsia"/>
          <w:color w:val="000000"/>
        </w:rPr>
        <w:t>养殖者通过追溯体系对应追溯主号录入对应个体使用兽药信息，包括药品名称、用药时间、休药期等信息。</w:t>
      </w:r>
    </w:p>
    <w:p>
      <w:pPr>
        <w:pStyle w:val="26"/>
        <w:bidi w:val="0"/>
        <w:rPr>
          <w:rFonts w:hint="eastAsia"/>
        </w:rPr>
      </w:pPr>
      <w:r>
        <w:rPr>
          <w:rFonts w:hint="eastAsia"/>
        </w:rPr>
        <w:t>5.2.7.2.3 疫苗</w:t>
      </w:r>
    </w:p>
    <w:p>
      <w:pPr>
        <w:pStyle w:val="9"/>
        <w:bidi w:val="0"/>
        <w:rPr>
          <w:rFonts w:hint="eastAsia"/>
        </w:rPr>
      </w:pPr>
      <w:r>
        <w:rPr>
          <w:rFonts w:hint="eastAsia"/>
        </w:rPr>
        <w:t>养殖者通过追溯体系对应追溯主号录入对应个体防疫使用疫苗名称、免疫时间等信息。</w:t>
      </w:r>
    </w:p>
    <w:p>
      <w:pPr>
        <w:pStyle w:val="25"/>
        <w:bidi w:val="0"/>
        <w:rPr>
          <w:rFonts w:hint="eastAsia"/>
        </w:rPr>
      </w:pPr>
      <w:r>
        <w:rPr>
          <w:rFonts w:hint="eastAsia"/>
        </w:rPr>
        <w:t>检疫</w:t>
      </w:r>
      <w:r>
        <w:rPr>
          <w:rFonts w:hint="eastAsia"/>
          <w:lang w:eastAsia="zh-CN"/>
        </w:rPr>
        <w:t>、</w:t>
      </w:r>
      <w:r>
        <w:rPr>
          <w:rFonts w:hint="eastAsia"/>
        </w:rPr>
        <w:t>屠宰</w:t>
      </w:r>
      <w:r>
        <w:rPr>
          <w:rFonts w:hint="eastAsia"/>
          <w:lang w:eastAsia="zh-CN"/>
        </w:rPr>
        <w:t>、</w:t>
      </w:r>
      <w:r>
        <w:rPr>
          <w:rFonts w:hint="eastAsia"/>
        </w:rPr>
        <w:t>加工</w:t>
      </w:r>
    </w:p>
    <w:p>
      <w:pPr>
        <w:pStyle w:val="26"/>
        <w:bidi w:val="0"/>
        <w:rPr>
          <w:rFonts w:hint="eastAsia"/>
        </w:rPr>
      </w:pPr>
      <w:r>
        <w:rPr>
          <w:rFonts w:hint="eastAsia"/>
        </w:rPr>
        <w:t>5.2.7.3.1  产地检疫</w:t>
      </w:r>
    </w:p>
    <w:p>
      <w:pPr>
        <w:pStyle w:val="9"/>
        <w:rPr>
          <w:rFonts w:hint="eastAsia"/>
          <w:color w:val="000000"/>
        </w:rPr>
      </w:pPr>
      <w:r>
        <w:rPr>
          <w:rFonts w:hint="eastAsia"/>
          <w:color w:val="000000"/>
        </w:rPr>
        <w:t>检疫部门通过追溯体系对应追溯主号录入对应个体的产地检疫信息，包括畜主、到达地点、用途、官方兽医签字等。</w:t>
      </w:r>
    </w:p>
    <w:p>
      <w:pPr>
        <w:pStyle w:val="26"/>
        <w:bidi w:val="0"/>
        <w:rPr>
          <w:rFonts w:hint="eastAsia"/>
        </w:rPr>
      </w:pPr>
      <w:r>
        <w:rPr>
          <w:rFonts w:hint="eastAsia"/>
        </w:rPr>
        <w:t>5.2.7.3.2  屠宰</w:t>
      </w:r>
    </w:p>
    <w:p>
      <w:pPr>
        <w:pStyle w:val="9"/>
        <w:rPr>
          <w:rFonts w:hint="eastAsia"/>
          <w:color w:val="000000"/>
        </w:rPr>
      </w:pPr>
      <w:r>
        <w:rPr>
          <w:rFonts w:hint="eastAsia"/>
          <w:color w:val="000000"/>
        </w:rPr>
        <w:t>屠宰企业通过追溯体系对应追溯主号录入对应个体的屠宰记录，包括屠宰单位名称、屠宰时间等信息。</w:t>
      </w:r>
    </w:p>
    <w:p>
      <w:pPr>
        <w:pStyle w:val="26"/>
        <w:bidi w:val="0"/>
        <w:rPr>
          <w:rFonts w:hint="eastAsia"/>
        </w:rPr>
      </w:pPr>
      <w:r>
        <w:rPr>
          <w:rFonts w:hint="eastAsia"/>
        </w:rPr>
        <w:t>5.2.7.3.3  屠宰检疫</w:t>
      </w:r>
    </w:p>
    <w:p>
      <w:pPr>
        <w:pStyle w:val="9"/>
        <w:rPr>
          <w:color w:val="000000"/>
        </w:rPr>
      </w:pPr>
      <w:r>
        <w:rPr>
          <w:rFonts w:hint="eastAsia"/>
          <w:color w:val="000000"/>
        </w:rPr>
        <w:t>检疫部门</w:t>
      </w:r>
      <w:r>
        <w:rPr>
          <w:rFonts w:hint="eastAsia"/>
          <w:color w:val="000000"/>
          <w:szCs w:val="22"/>
        </w:rPr>
        <w:t>通过</w:t>
      </w:r>
      <w:r>
        <w:rPr>
          <w:rFonts w:hint="eastAsia"/>
          <w:color w:val="000000"/>
        </w:rPr>
        <w:t>追溯体系对应追溯子号录入对应产品的屠宰检疫信息，包括货主、生产者、产地、官方兽医签字等信息。</w:t>
      </w:r>
    </w:p>
    <w:p>
      <w:pPr>
        <w:pStyle w:val="26"/>
        <w:bidi w:val="0"/>
        <w:rPr>
          <w:rFonts w:hint="eastAsia"/>
        </w:rPr>
      </w:pPr>
      <w:r>
        <w:rPr>
          <w:rFonts w:hint="eastAsia"/>
        </w:rPr>
        <w:t>5.2.7.3.4  加工</w:t>
      </w:r>
    </w:p>
    <w:p>
      <w:pPr>
        <w:pStyle w:val="9"/>
        <w:rPr>
          <w:rFonts w:hint="eastAsia"/>
          <w:color w:val="000000"/>
        </w:rPr>
      </w:pPr>
      <w:r>
        <w:rPr>
          <w:rFonts w:hint="eastAsia"/>
          <w:color w:val="000000"/>
        </w:rPr>
        <w:t>屠宰或加工企业</w:t>
      </w:r>
      <w:r>
        <w:rPr>
          <w:rFonts w:hint="eastAsia"/>
          <w:color w:val="000000"/>
          <w:szCs w:val="22"/>
        </w:rPr>
        <w:t>通过</w:t>
      </w:r>
      <w:r>
        <w:rPr>
          <w:rFonts w:hint="eastAsia"/>
          <w:color w:val="000000"/>
        </w:rPr>
        <w:t>追溯体系对应追溯主号录入对应个体的加工信息，并分配对应的追溯子号。包括加工者姓名、加工时间、生产日期、保质期等。</w:t>
      </w:r>
    </w:p>
    <w:p>
      <w:pPr>
        <w:pStyle w:val="25"/>
        <w:spacing w:before="156" w:after="156"/>
        <w:rPr>
          <w:rFonts w:hint="eastAsia" w:ascii="黑体" w:hAnsi="黑体" w:eastAsia="黑体" w:cs="黑体"/>
        </w:rPr>
      </w:pPr>
      <w:r>
        <w:rPr>
          <w:rFonts w:hint="eastAsia" w:ascii="黑体" w:hAnsi="黑体" w:eastAsia="黑体" w:cs="黑体"/>
        </w:rPr>
        <w:t>销售</w:t>
      </w:r>
    </w:p>
    <w:p>
      <w:pPr>
        <w:pStyle w:val="9"/>
        <w:ind w:firstLine="0" w:firstLineChars="0"/>
        <w:rPr>
          <w:rFonts w:ascii="黑体" w:hAnsi="黑体" w:eastAsia="黑体"/>
          <w:color w:val="000000"/>
        </w:rPr>
      </w:pPr>
      <w:r>
        <w:rPr>
          <w:rFonts w:hint="eastAsia" w:ascii="黑体" w:hAnsi="黑体" w:eastAsia="黑体"/>
          <w:color w:val="000000"/>
        </w:rPr>
        <w:t>5.2.7.4.1 产品信息</w:t>
      </w:r>
    </w:p>
    <w:p>
      <w:pPr>
        <w:pStyle w:val="9"/>
        <w:bidi w:val="0"/>
        <w:rPr>
          <w:rFonts w:hint="eastAsia"/>
        </w:rPr>
      </w:pPr>
      <w:r>
        <w:rPr>
          <w:rFonts w:hint="eastAsia"/>
        </w:rPr>
        <w:t>销售企业通过追溯体系对应追溯子号录入哈密羊肉产品信息，包括产品名称、生产日期、产品照片、养殖者、饲养方式、防疫检疫信息、销售企业名称等。</w:t>
      </w:r>
    </w:p>
    <w:p>
      <w:pPr>
        <w:pStyle w:val="26"/>
        <w:bidi w:val="0"/>
        <w:rPr>
          <w:rFonts w:hint="eastAsia"/>
        </w:rPr>
      </w:pPr>
      <w:r>
        <w:rPr>
          <w:rFonts w:hint="eastAsia"/>
        </w:rPr>
        <w:t>5.2.7.4.2 销售信息</w:t>
      </w:r>
    </w:p>
    <w:p>
      <w:pPr>
        <w:pStyle w:val="9"/>
        <w:rPr>
          <w:rFonts w:hint="eastAsia"/>
          <w:color w:val="000000"/>
        </w:rPr>
      </w:pPr>
      <w:r>
        <w:rPr>
          <w:rFonts w:hint="eastAsia"/>
          <w:color w:val="000000"/>
        </w:rPr>
        <w:t>销售企业通过追溯体系对应追溯子号录入对应哈密羊肉产品销售信息，包括销售时间、客户名称等。</w:t>
      </w:r>
    </w:p>
    <w:p>
      <w:pPr>
        <w:pStyle w:val="25"/>
        <w:bidi w:val="0"/>
        <w:rPr>
          <w:rFonts w:hint="eastAsia"/>
        </w:rPr>
      </w:pPr>
      <w:r>
        <w:rPr>
          <w:rFonts w:hint="eastAsia"/>
        </w:rPr>
        <w:t>储运</w:t>
      </w:r>
    </w:p>
    <w:p>
      <w:pPr>
        <w:pStyle w:val="9"/>
        <w:bidi w:val="0"/>
        <w:rPr>
          <w:rFonts w:hint="eastAsia"/>
        </w:rPr>
      </w:pPr>
      <w:r>
        <w:rPr>
          <w:rFonts w:hint="eastAsia"/>
        </w:rPr>
        <w:t>分别由养殖者、销售企业录入个体、哈密羊肉产品的去向、数量。</w:t>
      </w:r>
    </w:p>
    <w:p>
      <w:pPr>
        <w:pStyle w:val="22"/>
        <w:rPr>
          <w:rFonts w:hint="eastAsia"/>
          <w:szCs w:val="22"/>
        </w:rPr>
      </w:pPr>
      <w:r>
        <w:rPr>
          <w:rFonts w:hint="eastAsia"/>
          <w:szCs w:val="22"/>
        </w:rPr>
        <w:t>质量安全问题处理</w:t>
      </w:r>
    </w:p>
    <w:p>
      <w:pPr>
        <w:pStyle w:val="23"/>
        <w:bidi w:val="0"/>
        <w:ind w:left="9" w:leftChars="0" w:hanging="9"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哈密羊肉产品肉羊养殖、屠宰加工、产品销售各责任主体应对上一环节提供的产品进行验收，对追溯信息进行核实。如发现问题，按相关规定及时处置上报。</w:t>
      </w:r>
    </w:p>
    <w:p>
      <w:pPr>
        <w:pStyle w:val="23"/>
        <w:bidi w:val="0"/>
        <w:ind w:left="9" w:leftChars="0" w:hanging="9"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哈密羊肉产品出现质量问题时，对该批次产品立即召回或销毁。应通过追溯码，确定追溯单元，界定责任主体，迅速处置，并录入追溯体系留档。</w:t>
      </w:r>
    </w:p>
    <w:p>
      <w:pPr>
        <w:pStyle w:val="22"/>
        <w:rPr>
          <w:rFonts w:hint="eastAsia"/>
          <w:szCs w:val="22"/>
        </w:rPr>
      </w:pPr>
      <w:r>
        <w:rPr>
          <w:rFonts w:hint="eastAsia"/>
          <w:szCs w:val="22"/>
        </w:rPr>
        <w:t xml:space="preserve">体系运行自查    </w:t>
      </w:r>
    </w:p>
    <w:p>
      <w:pPr>
        <w:pStyle w:val="9"/>
        <w:bidi w:val="0"/>
        <w:rPr>
          <w:rFonts w:hint="eastAsia"/>
        </w:rPr>
      </w:pPr>
      <w:r>
        <w:rPr>
          <w:rFonts w:hint="eastAsia"/>
        </w:rPr>
        <w:t>按NY/T 1761的规定执行。</w:t>
      </w:r>
    </w:p>
    <w:p>
      <w:r>
        <w:rPr>
          <w:sz w:val="21"/>
        </w:rPr>
        <mc:AlternateContent>
          <mc:Choice Requires="wps">
            <w:drawing>
              <wp:anchor distT="0" distB="0" distL="114300" distR="114300" simplePos="0" relativeHeight="251670528" behindDoc="0" locked="0" layoutInCell="1" allowOverlap="1">
                <wp:simplePos x="0" y="0"/>
                <wp:positionH relativeFrom="column">
                  <wp:posOffset>1616075</wp:posOffset>
                </wp:positionH>
                <wp:positionV relativeFrom="paragraph">
                  <wp:posOffset>610235</wp:posOffset>
                </wp:positionV>
                <wp:extent cx="2444750" cy="0"/>
                <wp:effectExtent l="0" t="0" r="0" b="0"/>
                <wp:wrapNone/>
                <wp:docPr id="15" name="直接连接符 15"/>
                <wp:cNvGraphicFramePr/>
                <a:graphic xmlns:a="http://schemas.openxmlformats.org/drawingml/2006/main">
                  <a:graphicData uri="http://schemas.microsoft.com/office/word/2010/wordprocessingShape">
                    <wps:wsp>
                      <wps:cNvCnPr/>
                      <wps:spPr>
                        <a:xfrm>
                          <a:off x="2738120" y="4163060"/>
                          <a:ext cx="2444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27.25pt;margin-top:48.05pt;height:0pt;width:192.5pt;z-index:251670528;mso-width-relative:page;mso-height-relative:page;" filled="f" stroked="t" coordsize="21600,21600" o:gfxdata="UEsDBAoAAAAAAIdO4kAAAAAAAAAAAAAAAAAEAAAAZHJzL1BLAwQUAAAACACHTuJADClnZtgAAAAJ&#10;AQAADwAAAGRycy9kb3ducmV2LnhtbE2PwU7DMAyG70i8Q2QkbiztunWsNJ0QaOLAaWMaHLPGtNUa&#10;p2qyrvD0eOIAR//+9PtzvhptKwbsfeNIQTyJQCCVzjRUKdi9re/uQfigyejWESr4Qg+r4voq15lx&#10;Z9rgsA2V4BLymVZQh9BlUvqyRqv9xHVIvPt0vdWBx76SptdnLretnEZRKq1uiC/UusOnGsvj9mQV&#10;7B8Xx2R8eZ6tw2b30bshecXvd6Vub+LoAUTAMfzBcNFndSjY6eBOZLxoFUznszmjCpZpDIKBNFly&#10;cPgNZJHL/x8UP1BLAwQUAAAACACHTuJA9TujMdUBAAByAwAADgAAAGRycy9lMm9Eb2MueG1srVNL&#10;jhMxEN0jcQfLe9KdnkwStdKZxUTDBkEk4AAVt7vbkn9ymXRyCS6AxA5WLNlzG4ZjUHbC/NghsqjY&#10;rudXfq+qV1cHo9leBlTONnw6KTmTVrhW2b7h79/dvFhyhhFsC9pZ2fCjRH61fv5sNfpaVm5wupWB&#10;EYnFevQNH2L0dVGgGKQBnDgvLSU7FwxE2oa+aAOMxG50UZXlvBhdaH1wQiLS6eaU5OvM33VSxDdd&#10;hzIy3XB6W8wx5LhLsVivoO4D+EGJ8zPgH15hQFkqeke1gQjsQ1B/URklgkPXxYlwpnBdp4TMGkjN&#10;tHyi5u0AXmYtZA76O5vw/9GK1/ttYKql3l1yZsFQj24/ff/58cuvH58p3n77yihDNo0ea0Jf2204&#10;79BvQ9J86IJJ/6SGHRpeLS6W04rMPjZ8Np1flPOzzfIQmUiA2Wy2uCSAIETOFfckPmB8KZ1hadFw&#10;rWxyAGrYv8JIhQn6B5KOrbtRWucuastGklEtykQNNEydhkhL40ke2p4z0D1NqYghU6LTqk3XExGG&#10;fnetA9tDmpT8S6qp3CNYqr0BHE64nDrNkFGRBlkr0/Dlw9vaEkny7uRWWu1ce8wm5nNqbC5zHsI0&#10;OQ/3+fb9p7L+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AwpZ2bYAAAACQEAAA8AAAAAAAAAAQAg&#10;AAAAIgAAAGRycy9kb3ducmV2LnhtbFBLAQIUABQAAAAIAIdO4kD1O6Mx1QEAAHIDAAAOAAAAAAAA&#10;AAEAIAAAACcBAABkcnMvZTJvRG9jLnhtbFBLBQYAAAAABgAGAFkBAABuBQAAAAA=&#10;">
                <v:fill on="f" focussize="0,0"/>
                <v:stroke weight="1pt" color="#000000 [3213]" miterlimit="8" joinstyle="miter"/>
                <v:imagedata o:title=""/>
                <o:lock v:ext="edit" aspectratio="f"/>
              </v:line>
            </w:pict>
          </mc:Fallback>
        </mc:AlternateContent>
      </w:r>
    </w:p>
    <w:sectPr>
      <w:footerReference r:id="rId10" w:type="default"/>
      <w:footerReference r:id="rId11"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Style w:val="6"/>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pPr>
                          <w:r>
                            <w:rPr>
                              <w:rStyle w:val="6"/>
                            </w:rPr>
                            <w:fldChar w:fldCharType="begin"/>
                          </w:r>
                          <w:r>
                            <w:rPr>
                              <w:rStyle w:val="6"/>
                            </w:rPr>
                            <w:instrText xml:space="preserve">PAGE  </w:instrText>
                          </w:r>
                          <w:r>
                            <w:rPr>
                              <w:rStyle w:val="6"/>
                            </w:rPr>
                            <w:fldChar w:fldCharType="separate"/>
                          </w:r>
                          <w:r>
                            <w:rPr>
                              <w:rStyle w:val="6"/>
                            </w:rPr>
                            <w:t>2</w:t>
                          </w:r>
                          <w:r>
                            <w:rPr>
                              <w:rStyle w:val="6"/>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20"/>
                    </w:pPr>
                    <w:r>
                      <w:rPr>
                        <w:rStyle w:val="6"/>
                      </w:rPr>
                      <w:fldChar w:fldCharType="begin"/>
                    </w:r>
                    <w:r>
                      <w:rPr>
                        <w:rStyle w:val="6"/>
                      </w:rPr>
                      <w:instrText xml:space="preserve">PAGE  </w:instrText>
                    </w:r>
                    <w:r>
                      <w:rPr>
                        <w:rStyle w:val="6"/>
                      </w:rPr>
                      <w:fldChar w:fldCharType="separate"/>
                    </w:r>
                    <w:r>
                      <w:rPr>
                        <w:rStyle w:val="6"/>
                      </w:rPr>
                      <w:t>2</w:t>
                    </w:r>
                    <w:r>
                      <w:rPr>
                        <w:rStyle w:val="6"/>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rPr>
        <w:rStyle w:val="6"/>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1"/>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v:fill on="f" focussize="0,0"/>
              <v:stroke on="f"/>
              <v:imagedata o:title=""/>
              <o:lock v:ext="edit" aspectratio="f"/>
              <v:textbox inset="0mm,0mm,0mm,0mm" style="mso-fit-shape-to-text:t;">
                <w:txbxContent>
                  <w:p>
                    <w:pPr>
                      <w:pStyle w:val="21"/>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fldChar w:fldCharType="begin"/>
    </w:r>
    <w:r>
      <w:instrText xml:space="preserve"> PAGE  \* MERGEFORMAT </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pPr>
                          <w:r>
                            <w:fldChar w:fldCharType="begin"/>
                          </w:r>
                          <w:r>
                            <w:instrText xml:space="preserve"> PAGE  \* MERGEFORMAT </w:instrText>
                          </w:r>
                          <w:r>
                            <w:fldChar w:fldCharType="separate"/>
                          </w:r>
                          <w:r>
                            <w:t>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aqKiq4BAABLAwAADgAAAGRycy9lMm9Eb2MueG1srVPNThsxEL5X4h0s&#10;34mXI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RqoqKrgEAAEsD&#10;AAAOAAAAAAAAAAEAIAAAAB4BAABkcnMvZTJvRG9jLnhtbFBLBQYAAAAABgAGAFkBAAA+BQAAAAA=&#10;">
              <v:fill on="f" focussize="0,0"/>
              <v:stroke on="f"/>
              <v:imagedata o:title=""/>
              <o:lock v:ext="edit" aspectratio="f"/>
              <v:textbox inset="0mm,0mm,0mm,0mm" style="mso-fit-shape-to-text:t;">
                <w:txbxContent>
                  <w:p>
                    <w:pPr>
                      <w:pStyle w:val="20"/>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rPr>
        <w:rStyle w:val="6"/>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1"/>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ZqODK4BAABLAwAADgAAAGRycy9lMm9Eb2MueG1srVPNThsxEL5X4h0s&#10;34mXC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Bmo4MrgEAAEsD&#10;AAAOAAAAAAAAAAEAIAAAAB4BAABkcnMvZTJvRG9jLnhtbFBLBQYAAAAABgAGAFkBAAA+BQAAAAA=&#10;">
              <v:fill on="f" focussize="0,0"/>
              <v:stroke on="f"/>
              <v:imagedata o:title=""/>
              <o:lock v:ext="edit" aspectratio="f"/>
              <v:textbox inset="0mm,0mm,0mm,0mm" style="mso-fit-shape-to-text:t;">
                <w:txbxContent>
                  <w:p>
                    <w:pPr>
                      <w:pStyle w:val="21"/>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bidi w:val="0"/>
      <w:jc w:val="right"/>
      <w:rPr>
        <w:rFonts w:hint="default"/>
        <w:lang w:val="en-US" w:eastAsia="zh-CN"/>
      </w:rPr>
    </w:pPr>
    <w:r>
      <w:rPr>
        <w:rFonts w:hint="eastAsia"/>
      </w:rPr>
      <w:t>DB65</w:t>
    </w:r>
    <w:r>
      <w:rPr>
        <w:rFonts w:hint="eastAsia"/>
        <w:lang w:val="en-US" w:eastAsia="zh-CN"/>
      </w:rPr>
      <w:t>05</w:t>
    </w:r>
    <w:r>
      <w:t>/</w:t>
    </w:r>
    <w:r>
      <w:rPr>
        <w:rFonts w:hint="eastAsia"/>
      </w:rPr>
      <w:t>T 08</w:t>
    </w:r>
    <w:r>
      <w:rPr>
        <w:rFonts w:hint="eastAsia"/>
        <w:lang w:val="en-US" w:eastAsia="zh-CN"/>
      </w:rPr>
      <w:t>5</w:t>
    </w:r>
    <w:r>
      <w:t>-20</w:t>
    </w:r>
    <w:r>
      <w:rPr>
        <w:rFonts w:hint="eastAsia"/>
        <w:lang w:val="en-US" w:eastAsia="zh-CN"/>
      </w:rPr>
      <w:t>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bidi w:val="0"/>
      <w:rPr>
        <w:rFonts w:hint="default"/>
        <w:lang w:val="en-US" w:eastAsia="zh-CN"/>
      </w:rPr>
    </w:pPr>
    <w:r>
      <w:rPr>
        <w:rFonts w:hint="eastAsia"/>
      </w:rPr>
      <w:t>DB65</w:t>
    </w:r>
    <w:r>
      <w:rPr>
        <w:rFonts w:hint="eastAsia"/>
        <w:lang w:val="en-US" w:eastAsia="zh-CN"/>
      </w:rPr>
      <w:t>05</w:t>
    </w:r>
    <w:r>
      <w:t>/</w:t>
    </w:r>
    <w:r>
      <w:rPr>
        <w:rFonts w:hint="eastAsia"/>
      </w:rPr>
      <w:t>T 0</w:t>
    </w:r>
    <w:r>
      <w:rPr>
        <w:rFonts w:hint="eastAsia"/>
        <w:lang w:val="en-US" w:eastAsia="zh-CN"/>
      </w:rPr>
      <w:t>98</w:t>
    </w:r>
    <w:r>
      <w:t>-</w:t>
    </w:r>
    <w:r>
      <w:rPr>
        <w:rFonts w:hint="eastAsia"/>
        <w:lang w:val="en-US" w:eastAsia="zh-CN"/>
      </w:rPr>
      <w:t>2021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bidi w:val="0"/>
      <w:rPr>
        <w:rFonts w:hint="default"/>
        <w:lang w:val="en-US" w:eastAsia="zh-CN"/>
      </w:rPr>
    </w:pPr>
    <w:r>
      <w:t>DB</w:t>
    </w:r>
    <w:r>
      <w:rPr>
        <w:rFonts w:hint="eastAsia"/>
        <w:lang w:val="en-US" w:eastAsia="zh-CN"/>
      </w:rPr>
      <w:t>6505</w:t>
    </w:r>
    <w:r>
      <w:t>/</w:t>
    </w:r>
    <w:r>
      <w:rPr>
        <w:rFonts w:hint="eastAsia"/>
        <w:lang w:val="en-US" w:eastAsia="zh-CN"/>
      </w:rPr>
      <w:t>T</w:t>
    </w:r>
    <w:r>
      <w:t xml:space="preserve"> </w:t>
    </w:r>
    <w:r>
      <w:rPr>
        <w:rFonts w:hint="eastAsia"/>
        <w:lang w:val="en-US" w:eastAsia="zh-CN"/>
      </w:rPr>
      <w:t>098</w:t>
    </w:r>
    <w:r>
      <w:t>—</w:t>
    </w:r>
    <w:r>
      <w:rPr>
        <w:rFonts w:hint="eastAsia"/>
        <w:lang w:val="en-US" w:eastAsia="zh-CN"/>
      </w:rPr>
      <w:t>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91163"/>
    <w:multiLevelType w:val="multilevel"/>
    <w:tmpl w:val="1FC91163"/>
    <w:lvl w:ilvl="0" w:tentative="0">
      <w:start w:val="1"/>
      <w:numFmt w:val="decimal"/>
      <w:pStyle w:val="22"/>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3"/>
      <w:suff w:val="nothing"/>
      <w:lvlText w:val="%1.%2　"/>
      <w:lvlJc w:val="left"/>
      <w:pPr>
        <w:ind w:left="709"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24"/>
      <w:suff w:val="nothing"/>
      <w:lvlText w:val="%1.%2.%3　"/>
      <w:lvlJc w:val="left"/>
      <w:pPr>
        <w:ind w:left="426" w:firstLine="0"/>
      </w:pPr>
      <w:rPr>
        <w:rFonts w:hint="eastAsia" w:ascii="黑体" w:hAnsi="Times New Roman" w:eastAsia="黑体"/>
        <w:b w:val="0"/>
        <w:i w:val="0"/>
        <w:sz w:val="21"/>
      </w:rPr>
    </w:lvl>
    <w:lvl w:ilvl="3" w:tentative="0">
      <w:start w:val="1"/>
      <w:numFmt w:val="decimal"/>
      <w:pStyle w:val="25"/>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8852A5"/>
    <w:rsid w:val="040F73BE"/>
    <w:rsid w:val="371472E6"/>
    <w:rsid w:val="388852A5"/>
    <w:rsid w:val="5BDC37FC"/>
    <w:rsid w:val="79695333"/>
    <w:rsid w:val="7A340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rPr>
      <w:rFonts w:ascii="Times New Roman" w:hAnsi="Times New Roman" w:eastAsia="宋体"/>
      <w:sz w:val="18"/>
    </w:rPr>
  </w:style>
  <w:style w:type="paragraph" w:customStyle="1" w:styleId="7">
    <w:name w:val="封面正文"/>
    <w:qFormat/>
    <w:uiPriority w:val="0"/>
    <w:pPr>
      <w:jc w:val="both"/>
    </w:pPr>
    <w:rPr>
      <w:rFonts w:ascii="Times New Roman" w:hAnsi="Times New Roman" w:eastAsia="宋体" w:cs="Times New Roman"/>
      <w:lang w:val="en-US" w:eastAsia="zh-CN" w:bidi="ar-SA"/>
    </w:rPr>
  </w:style>
  <w:style w:type="paragraph" w:customStyle="1" w:styleId="8">
    <w:name w:val="前言、引言标题"/>
    <w:next w:val="9"/>
    <w:qFormat/>
    <w:uiPriority w:val="0"/>
    <w:pPr>
      <w:keepNext/>
      <w:pageBreakBefore/>
      <w:shd w:val="clear" w:color="FFFFFF" w:fill="FFFFFF"/>
      <w:spacing w:before="640" w:after="560"/>
      <w:jc w:val="center"/>
      <w:outlineLvl w:val="0"/>
    </w:pPr>
    <w:rPr>
      <w:rFonts w:ascii="黑体" w:hAnsi="Times New Roman" w:eastAsia="黑体" w:cs="黑体"/>
      <w:sz w:val="32"/>
      <w:szCs w:val="32"/>
      <w:lang w:val="en-US" w:eastAsia="zh-CN" w:bidi="ar-SA"/>
    </w:rPr>
  </w:style>
  <w:style w:type="paragraph" w:customStyle="1" w:styleId="9">
    <w:name w:val="段"/>
    <w:qFormat/>
    <w:uiPriority w:val="99"/>
    <w:pPr>
      <w:tabs>
        <w:tab w:val="center" w:pos="4201"/>
        <w:tab w:val="right" w:leader="dot" w:pos="9298"/>
      </w:tabs>
      <w:autoSpaceDE w:val="0"/>
      <w:autoSpaceDN w:val="0"/>
      <w:ind w:firstLine="420" w:firstLineChars="200"/>
      <w:jc w:val="both"/>
    </w:pPr>
    <w:rPr>
      <w:rFonts w:ascii="宋体" w:hAnsi="Times New Roman" w:eastAsia="宋体" w:cs="宋体"/>
      <w:sz w:val="21"/>
      <w:szCs w:val="21"/>
      <w:lang w:val="en-US" w:eastAsia="zh-CN" w:bidi="ar-SA"/>
    </w:rPr>
  </w:style>
  <w:style w:type="paragraph" w:customStyle="1" w:styleId="10">
    <w:name w:val="目次、标准名称标题"/>
    <w:basedOn w:val="1"/>
    <w:next w:val="9"/>
    <w:qFormat/>
    <w:uiPriority w:val="0"/>
    <w:pPr>
      <w:keepNext/>
      <w:pageBreakBefore/>
      <w:widowControl/>
      <w:shd w:val="clear" w:color="FFFFFF" w:fill="FFFFFF"/>
      <w:spacing w:before="640" w:after="560" w:line="460" w:lineRule="exact"/>
      <w:jc w:val="center"/>
      <w:outlineLvl w:val="0"/>
    </w:pPr>
    <w:rPr>
      <w:rFonts w:ascii="黑体" w:hAnsi="Times New Roman" w:eastAsia="黑体" w:cs="黑体"/>
      <w:kern w:val="0"/>
      <w:sz w:val="32"/>
      <w:szCs w:val="32"/>
    </w:rPr>
  </w:style>
  <w:style w:type="paragraph" w:customStyle="1" w:styleId="11">
    <w:name w:val="发布部门"/>
    <w:next w:val="9"/>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character" w:customStyle="1" w:styleId="12">
    <w:name w:val="发布"/>
    <w:basedOn w:val="5"/>
    <w:qFormat/>
    <w:uiPriority w:val="0"/>
    <w:rPr>
      <w:rFonts w:ascii="黑体" w:eastAsia="黑体"/>
      <w:spacing w:val="85"/>
      <w:w w:val="100"/>
      <w:position w:val="3"/>
      <w:sz w:val="28"/>
      <w:szCs w:val="28"/>
    </w:rPr>
  </w:style>
  <w:style w:type="paragraph" w:customStyle="1" w:styleId="13">
    <w:name w:val="实施日期"/>
    <w:basedOn w:val="14"/>
    <w:qFormat/>
    <w:uiPriority w:val="0"/>
    <w:pPr>
      <w:framePr w:vAnchor="page" w:hAnchor="text"/>
      <w:jc w:val="right"/>
    </w:pPr>
  </w:style>
  <w:style w:type="paragraph" w:customStyle="1" w:styleId="14">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15">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6">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17">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18">
    <w:name w:val="标准书眉一"/>
    <w:basedOn w:val="19"/>
    <w:next w:val="3"/>
    <w:qFormat/>
    <w:uiPriority w:val="0"/>
    <w:pPr>
      <w:jc w:val="both"/>
    </w:pPr>
    <w:rPr>
      <w:rFonts w:ascii="Times New Roman" w:eastAsia="黑体"/>
    </w:rPr>
  </w:style>
  <w:style w:type="paragraph" w:customStyle="1" w:styleId="19">
    <w:name w:val="标准书眉_奇数页"/>
    <w:next w:val="1"/>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20">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21">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22">
    <w:name w:val="章标题"/>
    <w:next w:val="9"/>
    <w:uiPriority w:val="0"/>
    <w:pPr>
      <w:numPr>
        <w:ilvl w:val="0"/>
        <w:numId w:val="1"/>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23">
    <w:name w:val="一级条标题"/>
    <w:next w:val="9"/>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24">
    <w:name w:val="二级条标题"/>
    <w:basedOn w:val="23"/>
    <w:next w:val="9"/>
    <w:qFormat/>
    <w:uiPriority w:val="0"/>
    <w:pPr>
      <w:numPr>
        <w:ilvl w:val="2"/>
        <w:numId w:val="1"/>
      </w:numPr>
      <w:spacing w:before="50" w:after="50"/>
      <w:outlineLvl w:val="3"/>
    </w:pPr>
  </w:style>
  <w:style w:type="paragraph" w:customStyle="1" w:styleId="25">
    <w:name w:val="三级条标题"/>
    <w:basedOn w:val="24"/>
    <w:next w:val="9"/>
    <w:qFormat/>
    <w:uiPriority w:val="99"/>
    <w:pPr>
      <w:numPr>
        <w:ilvl w:val="3"/>
      </w:numPr>
      <w:spacing w:afterAutospacing="0"/>
      <w:ind w:left="0"/>
      <w:outlineLvl w:val="4"/>
    </w:pPr>
    <w:rPr>
      <w:rFonts w:hAnsi="黑体"/>
    </w:rPr>
  </w:style>
  <w:style w:type="paragraph" w:customStyle="1" w:styleId="26">
    <w:name w:val="四级条标题"/>
    <w:basedOn w:val="1"/>
    <w:uiPriority w:val="0"/>
    <w:pPr>
      <w:spacing w:beforeLines="0" w:line="360" w:lineRule="auto"/>
      <w:outlineLvl w:val="1"/>
    </w:pPr>
    <w:rPr>
      <w:rFonts w:hint="eastAsia" w:ascii="黑体" w:hAnsi="黑体" w:eastAsia="黑体" w:cs="Times New Roman"/>
      <w:color w:val="000000"/>
    </w:rPr>
  </w:style>
  <w:style w:type="paragraph" w:customStyle="1" w:styleId="27">
    <w:name w:val="标准书眉_偶数页"/>
    <w:basedOn w:val="19"/>
    <w:next w:val="1"/>
    <w:uiPriority w:val="0"/>
    <w:pPr>
      <w:jc w:val="left"/>
    </w:pPr>
    <w:rPr>
      <w:rFonts w:hint="eastAsia" w:ascii="黑体" w:hAnsi="黑体"/>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132</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2021-03-17T11:11:00Z</dcterms:created>
  <dc:creator>Administrator</dc:creator>
  <cp:lastModifiedBy>Administrator</cp:lastModifiedBy>
  <cp:lastPrinted>2021-03-23T09:41:53Z</cp:lastPrinted>
  <dcterms:modified xsi:type="dcterms:W3CDTF">2021-03-23T10:45:56Z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